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3247B" w14:textId="77777777" w:rsidR="00B86416" w:rsidRPr="003F6BE2" w:rsidRDefault="00B86416" w:rsidP="00DB3884">
      <w:pPr>
        <w:spacing w:after="0" w:line="240" w:lineRule="auto"/>
        <w:jc w:val="center"/>
        <w:rPr>
          <w:rFonts w:ascii="Times New Roman" w:eastAsia="Times New Roman" w:hAnsi="Times New Roman" w:cs="Times New Roman"/>
          <w:b/>
          <w:kern w:val="0"/>
          <w:sz w:val="28"/>
          <w:szCs w:val="28"/>
          <w14:ligatures w14:val="none"/>
        </w:rPr>
      </w:pPr>
      <w:r w:rsidRPr="003F6BE2">
        <w:rPr>
          <w:rFonts w:ascii="Times New Roman" w:eastAsia="Times New Roman" w:hAnsi="Times New Roman" w:cs="Times New Roman"/>
          <w:b/>
          <w:kern w:val="0"/>
          <w:sz w:val="28"/>
          <w:szCs w:val="28"/>
          <w14:ligatures w14:val="none"/>
        </w:rPr>
        <w:t>TERMS OF REFERENCE</w:t>
      </w:r>
    </w:p>
    <w:p w14:paraId="6ADB6C08" w14:textId="77777777" w:rsidR="00B86416" w:rsidRPr="003F6BE2" w:rsidRDefault="00B86416" w:rsidP="00DB3884">
      <w:pPr>
        <w:spacing w:after="0" w:line="240" w:lineRule="auto"/>
        <w:jc w:val="center"/>
        <w:rPr>
          <w:rFonts w:ascii="Times New Roman" w:eastAsia="Times New Roman" w:hAnsi="Times New Roman" w:cs="Times New Roman"/>
          <w:b/>
          <w:kern w:val="0"/>
          <w:sz w:val="28"/>
          <w:szCs w:val="28"/>
          <w14:ligatures w14:val="none"/>
        </w:rPr>
      </w:pPr>
      <w:r w:rsidRPr="003F6BE2">
        <w:rPr>
          <w:rFonts w:ascii="Times New Roman" w:eastAsia="Times New Roman" w:hAnsi="Times New Roman" w:cs="Times New Roman"/>
          <w:b/>
          <w:kern w:val="0"/>
          <w:sz w:val="28"/>
          <w:szCs w:val="28"/>
          <w14:ligatures w14:val="none"/>
        </w:rPr>
        <w:t>for</w:t>
      </w:r>
    </w:p>
    <w:p w14:paraId="7ECC5794" w14:textId="77777777" w:rsidR="00B86416" w:rsidRPr="00D03F03" w:rsidRDefault="00B86416" w:rsidP="00DB3884">
      <w:pPr>
        <w:spacing w:after="360" w:line="240" w:lineRule="auto"/>
        <w:jc w:val="center"/>
        <w:rPr>
          <w:rFonts w:ascii="Times New Roman" w:eastAsia="Times New Roman" w:hAnsi="Times New Roman" w:cs="Times New Roman"/>
          <w:b/>
          <w:kern w:val="0"/>
          <w:sz w:val="28"/>
          <w:szCs w:val="28"/>
          <w14:ligatures w14:val="none"/>
        </w:rPr>
      </w:pPr>
      <w:r w:rsidRPr="001F3C3D">
        <w:rPr>
          <w:rFonts w:ascii="Times New Roman" w:eastAsia="Times New Roman" w:hAnsi="Times New Roman" w:cs="Times New Roman"/>
          <w:b/>
          <w:kern w:val="0"/>
          <w:sz w:val="28"/>
          <w:szCs w:val="28"/>
          <w14:ligatures w14:val="none"/>
        </w:rPr>
        <w:t>Technical Roadmap Development and Advisory Support for the I</w:t>
      </w:r>
      <w:r>
        <w:rPr>
          <w:rFonts w:ascii="Times New Roman" w:eastAsia="Times New Roman" w:hAnsi="Times New Roman" w:cs="Times New Roman"/>
          <w:b/>
          <w:kern w:val="0"/>
          <w:sz w:val="28"/>
          <w:szCs w:val="28"/>
          <w14:ligatures w14:val="none"/>
        </w:rPr>
        <w:t>ntegration into Common European Data Spaces</w:t>
      </w:r>
    </w:p>
    <w:p w14:paraId="0048BF88" w14:textId="77777777" w:rsidR="00B86416" w:rsidRPr="0022163F" w:rsidRDefault="00B86416" w:rsidP="00DB3884">
      <w:pPr>
        <w:pStyle w:val="ListParagraph"/>
        <w:numPr>
          <w:ilvl w:val="0"/>
          <w:numId w:val="5"/>
        </w:numPr>
        <w:jc w:val="both"/>
        <w:rPr>
          <w:rFonts w:ascii="Times New Roman" w:hAnsi="Times New Roman" w:cs="Times New Roman"/>
          <w:b/>
          <w:bCs/>
          <w:sz w:val="22"/>
          <w:szCs w:val="22"/>
        </w:rPr>
      </w:pPr>
      <w:r w:rsidRPr="0022163F">
        <w:rPr>
          <w:rFonts w:ascii="Times New Roman" w:hAnsi="Times New Roman" w:cs="Times New Roman"/>
          <w:b/>
          <w:bCs/>
          <w:sz w:val="22"/>
          <w:szCs w:val="22"/>
        </w:rPr>
        <w:t>Background Information</w:t>
      </w:r>
    </w:p>
    <w:p w14:paraId="01E87424" w14:textId="77777777" w:rsidR="00B86416" w:rsidRPr="00764A0D"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4DBC313E" w14:textId="77777777" w:rsidR="00B86416" w:rsidRPr="00764A0D"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t xml:space="preserve">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 </w:t>
      </w:r>
    </w:p>
    <w:p w14:paraId="47B9E729" w14:textId="77777777" w:rsidR="00B86416" w:rsidRPr="00764A0D"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t>In addition, the Government of Serbia has requested assistance from the World Bank in supporting the reform efforts, through a loan. To this effect, the World Bank has initiated the Enabling Digital Governance Project (EDGE). The Project, launched back in April 2019, and restructured in June 2024, aims at contributing to development of the digitalization in Serbia, through implementation of the following components:</w:t>
      </w:r>
    </w:p>
    <w:p w14:paraId="41E5ED08" w14:textId="77777777" w:rsidR="00B86416" w:rsidRPr="0022163F" w:rsidRDefault="00B86416" w:rsidP="00DB3884">
      <w:pPr>
        <w:jc w:val="both"/>
        <w:rPr>
          <w:rFonts w:ascii="Times New Roman" w:hAnsi="Times New Roman" w:cs="Times New Roman"/>
          <w:i/>
          <w:iCs/>
          <w:sz w:val="22"/>
          <w:szCs w:val="22"/>
        </w:rPr>
      </w:pPr>
      <w:r w:rsidRPr="0022163F">
        <w:rPr>
          <w:rFonts w:ascii="Times New Roman" w:hAnsi="Times New Roman" w:cs="Times New Roman"/>
          <w:i/>
          <w:iCs/>
          <w:sz w:val="22"/>
          <w:szCs w:val="22"/>
        </w:rPr>
        <w:t>Component 1: Foundations for Digital Service Delivery</w:t>
      </w:r>
    </w:p>
    <w:p w14:paraId="2CC31D48" w14:textId="77777777" w:rsidR="00B86416" w:rsidRPr="00764A0D"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544710AC" w14:textId="77777777" w:rsidR="00B86416" w:rsidRPr="0022163F" w:rsidRDefault="00B86416" w:rsidP="00DB3884">
      <w:pPr>
        <w:jc w:val="both"/>
        <w:rPr>
          <w:rFonts w:ascii="Times New Roman" w:hAnsi="Times New Roman" w:cs="Times New Roman"/>
          <w:i/>
          <w:iCs/>
          <w:sz w:val="22"/>
          <w:szCs w:val="22"/>
        </w:rPr>
      </w:pPr>
      <w:r w:rsidRPr="0022163F">
        <w:rPr>
          <w:rFonts w:ascii="Times New Roman" w:hAnsi="Times New Roman" w:cs="Times New Roman"/>
          <w:i/>
          <w:iCs/>
          <w:sz w:val="22"/>
          <w:szCs w:val="22"/>
        </w:rPr>
        <w:t>Component 2. Citizen-Centric Digital Services</w:t>
      </w:r>
    </w:p>
    <w:p w14:paraId="45577532" w14:textId="77777777" w:rsidR="00B86416" w:rsidRPr="00764A0D"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t>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Public Policy Secretariat (PPS) of the Prime Minister’s office.</w:t>
      </w:r>
    </w:p>
    <w:p w14:paraId="4737C96B" w14:textId="77777777" w:rsidR="00B86416" w:rsidRPr="0022163F" w:rsidRDefault="00B86416" w:rsidP="00DB3884">
      <w:pPr>
        <w:jc w:val="both"/>
        <w:rPr>
          <w:rFonts w:ascii="Times New Roman" w:hAnsi="Times New Roman" w:cs="Times New Roman"/>
          <w:i/>
          <w:iCs/>
          <w:sz w:val="22"/>
          <w:szCs w:val="22"/>
        </w:rPr>
      </w:pPr>
      <w:r w:rsidRPr="0022163F">
        <w:rPr>
          <w:rFonts w:ascii="Times New Roman" w:hAnsi="Times New Roman" w:cs="Times New Roman"/>
          <w:i/>
          <w:iCs/>
          <w:sz w:val="22"/>
          <w:szCs w:val="22"/>
        </w:rPr>
        <w:t>Component 3. Digital Skills Development and Project Management</w:t>
      </w:r>
    </w:p>
    <w:p w14:paraId="4236E7EF" w14:textId="77777777" w:rsidR="00B86416" w:rsidRPr="00764A0D"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t>This component focuses on the integration of change management, communication, and citizen feedback into Component 2.</w:t>
      </w:r>
    </w:p>
    <w:p w14:paraId="4F6CA267" w14:textId="77777777" w:rsidR="00B86416" w:rsidRDefault="00B86416" w:rsidP="00DB3884">
      <w:pPr>
        <w:jc w:val="both"/>
        <w:rPr>
          <w:rFonts w:ascii="Times New Roman" w:hAnsi="Times New Roman" w:cs="Times New Roman"/>
          <w:sz w:val="22"/>
          <w:szCs w:val="22"/>
        </w:rPr>
      </w:pPr>
      <w:r w:rsidRPr="00764A0D">
        <w:rPr>
          <w:rFonts w:ascii="Times New Roman" w:hAnsi="Times New Roman" w:cs="Times New Roman"/>
          <w:sz w:val="22"/>
          <w:szCs w:val="22"/>
        </w:rPr>
        <w:lastRenderedPageBreak/>
        <w:t>For the purposes of effectively managing and coordinating EDGE and future Projects with International Financial Institutions (IFI) financing, the Project Implementation Unit (PIU) has been founded at the OITeG.</w:t>
      </w:r>
    </w:p>
    <w:p w14:paraId="0C0F70EC" w14:textId="77777777" w:rsidR="0062407D" w:rsidRPr="0062407D" w:rsidRDefault="0062407D" w:rsidP="0062407D">
      <w:pPr>
        <w:jc w:val="both"/>
        <w:rPr>
          <w:rFonts w:ascii="Times New Roman" w:eastAsiaTheme="minorEastAsia" w:hAnsi="Times New Roman" w:cs="Times New Roman"/>
          <w:sz w:val="22"/>
          <w:szCs w:val="22"/>
        </w:rPr>
      </w:pPr>
      <w:r w:rsidRPr="0062407D">
        <w:rPr>
          <w:rFonts w:ascii="Times New Roman" w:eastAsiaTheme="minorEastAsia" w:hAnsi="Times New Roman" w:cs="Times New Roman"/>
          <w:sz w:val="22"/>
          <w:szCs w:val="22"/>
        </w:rPr>
        <w:t>As an EU candidate country, Serbia can leverage reciprocal access to health data under conditions no more restrictive than those set out in Article 91 of the EHDS Regulation. This article, expected to enter into force in March 2027, provides an interim framework for mutual data exchange between the EU and associated countries. Access to the EHDS and the EOSC will create transformative opportunities for Serbia’s healthcare system, research community, and citizens. It will enable active use of European health data to inform public-health policy, guide healthcare reforms, support translational and clinical research, and accelerate biomedical and digital-health innovation.</w:t>
      </w:r>
    </w:p>
    <w:p w14:paraId="476BBE36" w14:textId="77777777" w:rsidR="0062407D" w:rsidRPr="0062407D" w:rsidRDefault="0062407D" w:rsidP="0062407D">
      <w:pPr>
        <w:jc w:val="both"/>
        <w:rPr>
          <w:rFonts w:ascii="Times New Roman" w:eastAsiaTheme="minorEastAsia" w:hAnsi="Times New Roman" w:cs="Times New Roman"/>
          <w:sz w:val="22"/>
          <w:szCs w:val="22"/>
        </w:rPr>
      </w:pPr>
      <w:r w:rsidRPr="0062407D">
        <w:rPr>
          <w:rFonts w:ascii="Times New Roman" w:eastAsiaTheme="minorEastAsia" w:hAnsi="Times New Roman" w:cs="Times New Roman"/>
          <w:sz w:val="22"/>
          <w:szCs w:val="22"/>
        </w:rPr>
        <w:t>By aligning with the EHDS and EOSC standards and practices, Serbia can realize the following benefits:</w:t>
      </w:r>
    </w:p>
    <w:p w14:paraId="0B6D0B77" w14:textId="77777777" w:rsidR="0062407D" w:rsidRPr="0062407D" w:rsidRDefault="0062407D" w:rsidP="0062407D">
      <w:pPr>
        <w:jc w:val="both"/>
        <w:rPr>
          <w:rFonts w:ascii="Times New Roman" w:eastAsiaTheme="minorEastAsia" w:hAnsi="Times New Roman" w:cs="Times New Roman"/>
          <w:sz w:val="22"/>
          <w:szCs w:val="22"/>
        </w:rPr>
      </w:pPr>
      <w:r w:rsidRPr="0062407D">
        <w:rPr>
          <w:rFonts w:ascii="Times New Roman" w:eastAsiaTheme="minorEastAsia" w:hAnsi="Times New Roman" w:cs="Times New Roman"/>
          <w:i/>
          <w:iCs/>
          <w:sz w:val="22"/>
          <w:szCs w:val="22"/>
        </w:rPr>
        <w:t xml:space="preserve">Enabling Cross-Border Healthcare: </w:t>
      </w:r>
      <w:r w:rsidRPr="0062407D">
        <w:rPr>
          <w:rFonts w:ascii="Times New Roman" w:eastAsiaTheme="minorEastAsia" w:hAnsi="Times New Roman" w:cs="Times New Roman"/>
          <w:sz w:val="22"/>
          <w:szCs w:val="22"/>
        </w:rPr>
        <w:t>Serbian citizens temporarily or permanently residing in EU countries will gain seamless access to their health records, improving patient safety, continuity, and quality of care across borders. Reciprocal data access under Article 91 will support healthcare provision for EU citizens in Serbia, promoting mutual trust, and Serbia’s position as a welcoming and well-connected European destination. This will foster stronger integration with European health and innovation ecosystems and support broader economic development, including sectors such as tourism.</w:t>
      </w:r>
    </w:p>
    <w:p w14:paraId="715D92A5" w14:textId="77777777" w:rsidR="0062407D" w:rsidRPr="0062407D" w:rsidRDefault="0062407D" w:rsidP="0062407D">
      <w:pPr>
        <w:jc w:val="both"/>
        <w:rPr>
          <w:rFonts w:ascii="Times New Roman" w:eastAsiaTheme="minorEastAsia" w:hAnsi="Times New Roman" w:cs="Times New Roman"/>
          <w:i/>
          <w:iCs/>
          <w:sz w:val="22"/>
          <w:szCs w:val="22"/>
        </w:rPr>
      </w:pPr>
      <w:r w:rsidRPr="0062407D">
        <w:rPr>
          <w:rFonts w:ascii="Times New Roman" w:eastAsiaTheme="minorEastAsia" w:hAnsi="Times New Roman" w:cs="Times New Roman"/>
          <w:i/>
          <w:iCs/>
          <w:sz w:val="22"/>
          <w:szCs w:val="22"/>
        </w:rPr>
        <w:t xml:space="preserve">Support for Rare Disease Patients: </w:t>
      </w:r>
      <w:r w:rsidRPr="0062407D">
        <w:rPr>
          <w:rFonts w:ascii="Times New Roman" w:eastAsiaTheme="minorEastAsia" w:hAnsi="Times New Roman" w:cs="Times New Roman"/>
          <w:sz w:val="22"/>
          <w:szCs w:val="22"/>
        </w:rPr>
        <w:t>Through participation in European Reference Networks (ERN), Serbian patients will gain access to specialised expertise and collaborative care across Europe, improving diagnosis and treatment for rare diseases. As rare diseases collectively affect a significant number of citizens and require highly specialised knowledge, participation in the ERNs will strengthen Serbia’s capacity for advanced diagnostics, cross-border research collaboration, and integration into European healthcare excellence frameworks.</w:t>
      </w:r>
    </w:p>
    <w:p w14:paraId="2DCFA98C" w14:textId="77777777" w:rsidR="0062407D" w:rsidRPr="0062407D" w:rsidRDefault="0062407D" w:rsidP="0062407D">
      <w:pPr>
        <w:jc w:val="both"/>
        <w:rPr>
          <w:rFonts w:ascii="Times New Roman" w:eastAsiaTheme="minorEastAsia" w:hAnsi="Times New Roman" w:cs="Times New Roman"/>
          <w:i/>
          <w:iCs/>
          <w:sz w:val="22"/>
          <w:szCs w:val="22"/>
        </w:rPr>
      </w:pPr>
      <w:r w:rsidRPr="0062407D">
        <w:rPr>
          <w:rFonts w:ascii="Times New Roman" w:eastAsiaTheme="minorEastAsia" w:hAnsi="Times New Roman" w:cs="Times New Roman"/>
          <w:i/>
          <w:iCs/>
          <w:sz w:val="22"/>
          <w:szCs w:val="22"/>
        </w:rPr>
        <w:t xml:space="preserve">Advancement of Research and Innovation: </w:t>
      </w:r>
      <w:r w:rsidRPr="0062407D">
        <w:rPr>
          <w:rFonts w:ascii="Times New Roman" w:eastAsiaTheme="minorEastAsia" w:hAnsi="Times New Roman" w:cs="Times New Roman"/>
          <w:sz w:val="22"/>
          <w:szCs w:val="22"/>
        </w:rPr>
        <w:t>Serbian researchers and institutions will be able to participate in EU-wide studies using standardized data models. Integration with the EOSC will enable responsible secondary use of anonymized health data for research and innovation.</w:t>
      </w:r>
    </w:p>
    <w:p w14:paraId="12A81F07" w14:textId="77777777" w:rsidR="0062407D" w:rsidRPr="0062407D" w:rsidRDefault="0062407D" w:rsidP="0062407D">
      <w:pPr>
        <w:jc w:val="both"/>
        <w:rPr>
          <w:rFonts w:ascii="Times New Roman" w:eastAsiaTheme="minorEastAsia" w:hAnsi="Times New Roman" w:cs="Times New Roman"/>
          <w:sz w:val="22"/>
          <w:szCs w:val="22"/>
        </w:rPr>
      </w:pPr>
      <w:r w:rsidRPr="0062407D">
        <w:rPr>
          <w:rFonts w:ascii="Times New Roman" w:eastAsiaTheme="minorEastAsia" w:hAnsi="Times New Roman" w:cs="Times New Roman"/>
          <w:i/>
          <w:iCs/>
          <w:sz w:val="22"/>
          <w:szCs w:val="22"/>
        </w:rPr>
        <w:t>Strengthening Serbia’s capacity of AI innovation ecosystem:</w:t>
      </w:r>
      <w:r w:rsidRPr="0062407D">
        <w:rPr>
          <w:rFonts w:eastAsiaTheme="minorEastAsia"/>
        </w:rPr>
        <w:t xml:space="preserve"> </w:t>
      </w:r>
      <w:r w:rsidRPr="0062407D">
        <w:rPr>
          <w:rFonts w:ascii="Times New Roman" w:eastAsiaTheme="minorEastAsia" w:hAnsi="Times New Roman" w:cs="Times New Roman"/>
          <w:sz w:val="22"/>
          <w:szCs w:val="22"/>
        </w:rPr>
        <w:t>Harmonisation of national frameworks with the EHDS and EOSC will ensure robust data protection, privacy, and compliance. The adoption of international standards will further enhance data governance and security, while reinforcing Serbia’s capacity to advance its AI-driven innovation ecosystem.</w:t>
      </w:r>
    </w:p>
    <w:p w14:paraId="2248C39D" w14:textId="77777777" w:rsidR="0062407D" w:rsidRPr="0062407D" w:rsidRDefault="0062407D" w:rsidP="0062407D">
      <w:pPr>
        <w:jc w:val="both"/>
        <w:rPr>
          <w:rFonts w:ascii="Times New Roman" w:eastAsiaTheme="minorEastAsia" w:hAnsi="Times New Roman" w:cs="Times New Roman"/>
          <w:sz w:val="22"/>
          <w:szCs w:val="22"/>
        </w:rPr>
      </w:pPr>
      <w:r w:rsidRPr="0062407D">
        <w:rPr>
          <w:rFonts w:ascii="Times New Roman" w:eastAsiaTheme="minorEastAsia" w:hAnsi="Times New Roman" w:cs="Times New Roman"/>
          <w:sz w:val="22"/>
          <w:szCs w:val="22"/>
        </w:rPr>
        <w:t xml:space="preserve">Early alignment and proactive engagement will maximize these benefits and ensure a smooth transition into the European data space ecosystem. </w:t>
      </w:r>
    </w:p>
    <w:p w14:paraId="0940E938" w14:textId="77777777" w:rsidR="00B86416" w:rsidRPr="00EE70DE" w:rsidRDefault="00B86416" w:rsidP="007363E5">
      <w:pPr>
        <w:pStyle w:val="ListParagraph"/>
        <w:keepNext/>
        <w:numPr>
          <w:ilvl w:val="0"/>
          <w:numId w:val="5"/>
        </w:numPr>
        <w:ind w:left="714" w:hanging="357"/>
        <w:jc w:val="both"/>
        <w:rPr>
          <w:rFonts w:ascii="Times New Roman" w:hAnsi="Times New Roman" w:cs="Times New Roman"/>
          <w:b/>
          <w:bCs/>
          <w:sz w:val="22"/>
          <w:szCs w:val="22"/>
        </w:rPr>
      </w:pPr>
      <w:r w:rsidRPr="00EE70DE">
        <w:rPr>
          <w:rFonts w:ascii="Times New Roman" w:hAnsi="Times New Roman" w:cs="Times New Roman"/>
          <w:b/>
          <w:bCs/>
          <w:sz w:val="22"/>
          <w:szCs w:val="22"/>
        </w:rPr>
        <w:lastRenderedPageBreak/>
        <w:t>Objectives</w:t>
      </w:r>
    </w:p>
    <w:p w14:paraId="1A3FC97C" w14:textId="77777777" w:rsidR="00B86416" w:rsidRDefault="00B86416" w:rsidP="00DB3884">
      <w:pPr>
        <w:pStyle w:val="Heading4"/>
        <w:spacing w:before="279" w:after="279" w:line="300" w:lineRule="atLeast"/>
        <w:jc w:val="both"/>
        <w:rPr>
          <w:rFonts w:ascii="Times New Roman" w:eastAsiaTheme="minorEastAsia" w:hAnsi="Times New Roman" w:cs="Times New Roman"/>
          <w:i w:val="0"/>
          <w:iCs w:val="0"/>
          <w:color w:val="000000"/>
          <w:kern w:val="0"/>
          <w:sz w:val="22"/>
          <w:szCs w:val="22"/>
          <w14:ligatures w14:val="none"/>
        </w:rPr>
      </w:pPr>
      <w:r w:rsidRPr="00246A33">
        <w:rPr>
          <w:rFonts w:ascii="Times New Roman" w:eastAsiaTheme="minorEastAsia" w:hAnsi="Times New Roman" w:cs="Times New Roman"/>
          <w:i w:val="0"/>
          <w:iCs w:val="0"/>
          <w:color w:val="000000"/>
          <w:kern w:val="0"/>
          <w:sz w:val="22"/>
          <w:szCs w:val="22"/>
          <w14:ligatures w14:val="none"/>
        </w:rPr>
        <w:t>The primary objective of this consulting project is to prepare Serbia’s citizen data platforms—primarily health data—for integration into the Common European Data Spaces, ensuring that data can be shared and accessed in a secure and trustworthy manner.</w:t>
      </w:r>
      <w:r>
        <w:rPr>
          <w:rFonts w:ascii="Times New Roman" w:eastAsiaTheme="minorEastAsia" w:hAnsi="Times New Roman" w:cs="Times New Roman"/>
          <w:i w:val="0"/>
          <w:iCs w:val="0"/>
          <w:color w:val="000000"/>
          <w:kern w:val="0"/>
          <w:sz w:val="22"/>
          <w:szCs w:val="22"/>
          <w14:ligatures w14:val="none"/>
        </w:rPr>
        <w:t xml:space="preserve"> </w:t>
      </w:r>
      <w:r w:rsidRPr="00246A33">
        <w:rPr>
          <w:rFonts w:ascii="Times New Roman" w:eastAsiaTheme="minorEastAsia" w:hAnsi="Times New Roman" w:cs="Times New Roman"/>
          <w:i w:val="0"/>
          <w:iCs w:val="0"/>
          <w:color w:val="000000"/>
          <w:kern w:val="0"/>
          <w:sz w:val="22"/>
          <w:szCs w:val="22"/>
          <w14:ligatures w14:val="none"/>
        </w:rPr>
        <w:t>This includes assessing the alignment of Serbia’s health data ecosystem, such as the Central Health Record (eKarton) and ePrescription system, with EU interoperability standards for cross border health services and readiness for the eHealth Digital Service Infrastructure (eHDSI).The project will also establish the foundation for Serbia’s participation in the European Open Science Cloud (EOSC), enabling the responsible secondary use of anonymized health data for research and innovation. By harmonizing national systems with EU standards, Serbia will be positioned to contribute to evidence based public health, support cross border research initiatives, and advance scientific collaboration across Europe.</w:t>
      </w:r>
    </w:p>
    <w:p w14:paraId="1C21601B" w14:textId="77777777" w:rsidR="00B86416" w:rsidRPr="00EE70DE" w:rsidRDefault="00B86416" w:rsidP="00DB3884">
      <w:pPr>
        <w:pStyle w:val="ListParagraph"/>
        <w:numPr>
          <w:ilvl w:val="0"/>
          <w:numId w:val="5"/>
        </w:numPr>
        <w:jc w:val="both"/>
        <w:rPr>
          <w:rFonts w:ascii="Times New Roman" w:eastAsiaTheme="minorEastAsia" w:hAnsi="Times New Roman" w:cs="Times New Roman"/>
          <w:b/>
          <w:bCs/>
          <w:color w:val="000000"/>
          <w:kern w:val="0"/>
          <w:sz w:val="22"/>
          <w:szCs w:val="22"/>
          <w14:ligatures w14:val="none"/>
        </w:rPr>
      </w:pPr>
      <w:r w:rsidRPr="00EE70DE">
        <w:rPr>
          <w:rFonts w:ascii="Times New Roman" w:hAnsi="Times New Roman" w:cs="Times New Roman"/>
          <w:b/>
          <w:bCs/>
          <w:sz w:val="22"/>
          <w:szCs w:val="22"/>
        </w:rPr>
        <w:t>Scope and Phases</w:t>
      </w:r>
    </w:p>
    <w:p w14:paraId="4770BF47" w14:textId="2D1289AA" w:rsidR="00B86416" w:rsidRDefault="00B86416" w:rsidP="00DB3884">
      <w:pPr>
        <w:pStyle w:val="ListParagraph"/>
        <w:numPr>
          <w:ilvl w:val="0"/>
          <w:numId w:val="10"/>
        </w:numPr>
        <w:jc w:val="both"/>
        <w:rPr>
          <w:rFonts w:ascii="Times New Roman" w:eastAsiaTheme="minorEastAsia" w:hAnsi="Times New Roman" w:cs="Times New Roman"/>
          <w:color w:val="000000"/>
          <w:kern w:val="0"/>
          <w:sz w:val="22"/>
          <w:szCs w:val="22"/>
          <w14:ligatures w14:val="none"/>
        </w:rPr>
      </w:pPr>
      <w:r w:rsidRPr="00522297">
        <w:rPr>
          <w:rFonts w:ascii="Times New Roman" w:eastAsiaTheme="minorEastAsia" w:hAnsi="Times New Roman" w:cs="Times New Roman"/>
          <w:color w:val="000000"/>
          <w:kern w:val="0"/>
          <w:sz w:val="22"/>
          <w:szCs w:val="22"/>
          <w14:ligatures w14:val="none"/>
        </w:rPr>
        <w:t>Conduct comprehensive research to prepare an initial overview of the project, with proposed expert deployment schedule, and a comprehensive implementation plan detailing key milestones for the assignment. As a formal deliverable, the report will define the detailed methodology, project timeline, and the approach for stakeholder engagement.</w:t>
      </w:r>
    </w:p>
    <w:p w14:paraId="727912BA" w14:textId="2CB02A45" w:rsidR="0062407D" w:rsidRPr="00682A93" w:rsidRDefault="0062407D" w:rsidP="0062407D">
      <w:pPr>
        <w:pStyle w:val="ListParagraph"/>
        <w:numPr>
          <w:ilvl w:val="0"/>
          <w:numId w:val="10"/>
        </w:numPr>
        <w:jc w:val="both"/>
        <w:rPr>
          <w:rFonts w:ascii="Times New Roman" w:hAnsi="Times New Roman" w:cs="Times New Roman"/>
          <w:color w:val="000000"/>
          <w:kern w:val="0"/>
          <w:sz w:val="22"/>
          <w:szCs w:val="22"/>
          <w14:ligatures w14:val="none"/>
        </w:rPr>
      </w:pPr>
      <w:r w:rsidRPr="00682A93">
        <w:rPr>
          <w:rFonts w:ascii="Times New Roman" w:hAnsi="Times New Roman" w:cs="Times New Roman"/>
          <w:color w:val="000000"/>
          <w:kern w:val="0"/>
          <w:sz w:val="22"/>
          <w:szCs w:val="22"/>
          <w14:ligatures w14:val="none"/>
        </w:rPr>
        <w:t>During the assessment phase, the supplier will conduct a comprehensive gap analysis of legislative, technical, and procedural frameworks to identify compliance risks, structural barriers, and potential bottlenecks for deliverable 3. This includes a detailed review of the current compliance of Serbia’s central health record (eKarton) and ePrescription system with EHDS structures, and an assessment of alignment and integration pathways with the European Open Science Cloud (EOSC), focusing on interoperability and privacy protection for biomedical and health research data. As part of this process, the supplier will evaluate whether appropriate privacy protection guardrails—such as robust data governance aligned with international standards (ISO 27559, ISO 27001, ISO 9001), risk identification and rating, audit controls, data minimization, secure environments, pseudonymization/anonymization, consent management, and governance catalogues—are in place and adequate. Where gaps or inadequacies are identified, the supplier will recommend targeted improvements to ensure sensitive health data is properly safeguarded throughout the analysis and roadmap preparation stages. Develop a comprehensive roadmap outlining the technical and organizational steps required for integration with the eHealth Digital Service Infrastructure (eHDSI), map the existing data structures to the required interoperability standards and identify and document the necessary technical, legislative, regulatory and procedural adaptations.</w:t>
      </w:r>
    </w:p>
    <w:p w14:paraId="46C42181" w14:textId="77777777" w:rsidR="00B86416" w:rsidRPr="00522297" w:rsidRDefault="00B86416" w:rsidP="00DB3884">
      <w:pPr>
        <w:pStyle w:val="ListParagraph"/>
        <w:numPr>
          <w:ilvl w:val="0"/>
          <w:numId w:val="10"/>
        </w:numPr>
        <w:jc w:val="both"/>
        <w:rPr>
          <w:rFonts w:ascii="Times New Roman" w:eastAsiaTheme="minorEastAsia" w:hAnsi="Times New Roman" w:cs="Times New Roman"/>
          <w:color w:val="000000"/>
          <w:kern w:val="0"/>
          <w:sz w:val="22"/>
          <w:szCs w:val="22"/>
          <w14:ligatures w14:val="none"/>
        </w:rPr>
      </w:pPr>
      <w:r w:rsidRPr="00522297">
        <w:rPr>
          <w:rFonts w:ascii="Times New Roman" w:eastAsiaTheme="minorEastAsia" w:hAnsi="Times New Roman" w:cs="Times New Roman"/>
          <w:color w:val="000000"/>
          <w:kern w:val="0"/>
          <w:sz w:val="22"/>
          <w:szCs w:val="22"/>
          <w14:ligatures w14:val="none"/>
        </w:rPr>
        <w:t>Develop a comprehensive roadmap outlining the technical and organizational steps required for integration with the eHealth Digital Service Infrastructure (eHDSI), map the existing data structures to the required interoperability standards and identify and document the necessary technical, legislative, regulatory and procedural adaptations.</w:t>
      </w:r>
    </w:p>
    <w:p w14:paraId="6FC7B89B" w14:textId="77777777" w:rsidR="0062407D" w:rsidRPr="007363E5" w:rsidRDefault="0062407D" w:rsidP="0062407D">
      <w:pPr>
        <w:pStyle w:val="ListParagraph"/>
        <w:numPr>
          <w:ilvl w:val="0"/>
          <w:numId w:val="10"/>
        </w:numPr>
        <w:jc w:val="both"/>
        <w:rPr>
          <w:rFonts w:ascii="Times New Roman" w:hAnsi="Times New Roman" w:cs="Times New Roman"/>
          <w:color w:val="000000"/>
          <w:kern w:val="0"/>
          <w:sz w:val="22"/>
          <w:szCs w:val="22"/>
          <w14:ligatures w14:val="none"/>
        </w:rPr>
      </w:pPr>
      <w:r w:rsidRPr="007363E5">
        <w:rPr>
          <w:rFonts w:ascii="Times New Roman" w:hAnsi="Times New Roman" w:cs="Times New Roman"/>
          <w:color w:val="000000"/>
          <w:kern w:val="0"/>
          <w:sz w:val="22"/>
          <w:szCs w:val="22"/>
          <w14:ligatures w14:val="none"/>
        </w:rPr>
        <w:t xml:space="preserve">Develop and deliver targeted training programmes for stakeholders and technical staff to ensure the effective adoption of new interoperability standards and implementation procedures. The activities will include interactive workshops and seminars designed to build practical understanding across all key institutions — including the Office for IT and eGovernment, the Centre for the Fourth Industrial Revolution (C4IR Serbia), the Ministry of Health, the Ministry </w:t>
      </w:r>
      <w:r w:rsidRPr="007363E5">
        <w:rPr>
          <w:rFonts w:ascii="Times New Roman" w:hAnsi="Times New Roman" w:cs="Times New Roman"/>
          <w:color w:val="000000"/>
          <w:kern w:val="0"/>
          <w:sz w:val="22"/>
          <w:szCs w:val="22"/>
          <w14:ligatures w14:val="none"/>
        </w:rPr>
        <w:lastRenderedPageBreak/>
        <w:t>of Science, the National Health Insurance Fund, the Medicines and Medical Devices Agency, the Public Health Institute of Serbia, and the Science Fund of the Republic of Serbia — as well as representatives from the research community, healthcare and the innovation ecosystem.</w:t>
      </w:r>
    </w:p>
    <w:p w14:paraId="5C01FC2E" w14:textId="2DF2B5A9" w:rsidR="0062407D" w:rsidRPr="007363E5" w:rsidRDefault="0062407D" w:rsidP="0062407D">
      <w:pPr>
        <w:pStyle w:val="ListParagraph"/>
        <w:ind w:left="1080"/>
        <w:jc w:val="both"/>
        <w:rPr>
          <w:rFonts w:ascii="Times New Roman" w:hAnsi="Times New Roman" w:cs="Times New Roman"/>
          <w:color w:val="000000"/>
          <w:kern w:val="0"/>
          <w:sz w:val="22"/>
          <w:szCs w:val="22"/>
          <w14:ligatures w14:val="none"/>
        </w:rPr>
      </w:pPr>
      <w:r w:rsidRPr="007363E5">
        <w:rPr>
          <w:rFonts w:ascii="Times New Roman" w:hAnsi="Times New Roman" w:cs="Times New Roman"/>
          <w:color w:val="000000"/>
          <w:kern w:val="0"/>
          <w:sz w:val="22"/>
          <w:szCs w:val="22"/>
          <w14:ligatures w14:val="none"/>
        </w:rPr>
        <w:t xml:space="preserve">These sessions will strengthen participants’ capacity to apply the standards in practice, enhance institutional readiness, and support the seamless integration of national systems with EHDS and EOSC </w:t>
      </w:r>
      <w:r w:rsidRPr="0062407D">
        <w:rPr>
          <w:rFonts w:ascii="Times New Roman" w:hAnsi="Times New Roman" w:cs="Times New Roman"/>
          <w:color w:val="000000"/>
          <w:kern w:val="0"/>
          <w:sz w:val="22"/>
          <w:szCs w:val="22"/>
          <w14:ligatures w14:val="none"/>
        </w:rPr>
        <w:t>frameworks.</w:t>
      </w:r>
    </w:p>
    <w:p w14:paraId="6EE60272" w14:textId="77777777" w:rsidR="0062407D" w:rsidRPr="007363E5" w:rsidRDefault="0062407D" w:rsidP="0062407D">
      <w:pPr>
        <w:pStyle w:val="ListParagraph"/>
        <w:numPr>
          <w:ilvl w:val="0"/>
          <w:numId w:val="10"/>
        </w:numPr>
        <w:jc w:val="both"/>
        <w:rPr>
          <w:rFonts w:ascii="Times New Roman" w:hAnsi="Times New Roman" w:cs="Times New Roman"/>
          <w:color w:val="000000"/>
          <w:kern w:val="0"/>
          <w:sz w:val="22"/>
          <w:szCs w:val="22"/>
          <w14:ligatures w14:val="none"/>
        </w:rPr>
      </w:pPr>
      <w:r w:rsidRPr="007363E5">
        <w:rPr>
          <w:rFonts w:ascii="Times New Roman" w:hAnsi="Times New Roman" w:cs="Times New Roman"/>
          <w:color w:val="000000"/>
          <w:kern w:val="0"/>
          <w:sz w:val="22"/>
          <w:szCs w:val="22"/>
          <w14:ligatures w14:val="none"/>
        </w:rPr>
        <w:t>Organize workshops and seminars focused on cross-border collaboration, interoperability, and integration with EU frameworks. Facilitate knowledge transfer by sharing best practices from EU/EEA countries that have successfully implemented interoperable digital health services and open science data practices, and document key outcomes for future reference.</w:t>
      </w:r>
    </w:p>
    <w:p w14:paraId="08F8BDB6" w14:textId="77777777" w:rsidR="0062407D" w:rsidRPr="0062407D" w:rsidRDefault="0062407D" w:rsidP="0062407D">
      <w:pPr>
        <w:pStyle w:val="ListParagraph"/>
        <w:ind w:left="1080"/>
        <w:jc w:val="both"/>
        <w:rPr>
          <w:rFonts w:ascii="Times New Roman" w:hAnsi="Times New Roman" w:cs="Times New Roman"/>
          <w:color w:val="000000"/>
          <w:kern w:val="0"/>
          <w:sz w:val="22"/>
          <w:szCs w:val="22"/>
          <w14:ligatures w14:val="none"/>
        </w:rPr>
      </w:pPr>
      <w:r w:rsidRPr="007363E5">
        <w:rPr>
          <w:rFonts w:ascii="Times New Roman" w:hAnsi="Times New Roman" w:cs="Times New Roman"/>
          <w:color w:val="000000"/>
          <w:kern w:val="0"/>
          <w:sz w:val="22"/>
          <w:szCs w:val="22"/>
          <w14:ligatures w14:val="none"/>
        </w:rPr>
        <w:t>Additionally, to ensure public awareness and understanding of the benefits and safeguards related to Serbia’s integration into the EHDS and EOSC, the supplier will participate in targeted outreach activities, such as panels, media briefings, and digital campaigns in collaboration with relevant institutions. The supplier will also actively participate in high-profile events and conferences such as the Biotech Future Forum and the Data Science Conference to ensure visibility and engagement among both professional and general audiences</w:t>
      </w:r>
      <w:r w:rsidRPr="0062407D">
        <w:rPr>
          <w:rFonts w:ascii="Times New Roman" w:hAnsi="Times New Roman" w:cs="Times New Roman"/>
          <w:color w:val="000000"/>
          <w:kern w:val="0"/>
          <w:sz w:val="22"/>
          <w:szCs w:val="22"/>
          <w14:ligatures w14:val="none"/>
        </w:rPr>
        <w:t xml:space="preserve">. </w:t>
      </w:r>
    </w:p>
    <w:p w14:paraId="44C8A0C9" w14:textId="77777777" w:rsidR="00B86416" w:rsidRDefault="00B86416" w:rsidP="00DB3884">
      <w:pPr>
        <w:pStyle w:val="ListParagraph"/>
        <w:numPr>
          <w:ilvl w:val="0"/>
          <w:numId w:val="10"/>
        </w:numPr>
        <w:jc w:val="both"/>
        <w:rPr>
          <w:rFonts w:ascii="Times New Roman" w:eastAsiaTheme="minorEastAsia" w:hAnsi="Times New Roman" w:cs="Times New Roman"/>
          <w:color w:val="000000"/>
          <w:kern w:val="0"/>
          <w:sz w:val="22"/>
          <w:szCs w:val="22"/>
          <w14:ligatures w14:val="none"/>
        </w:rPr>
      </w:pPr>
      <w:r w:rsidRPr="00522297">
        <w:rPr>
          <w:rFonts w:ascii="Times New Roman" w:eastAsiaTheme="minorEastAsia" w:hAnsi="Times New Roman" w:cs="Times New Roman"/>
          <w:color w:val="000000"/>
          <w:kern w:val="0"/>
          <w:sz w:val="22"/>
          <w:szCs w:val="22"/>
          <w14:ligatures w14:val="none"/>
        </w:rPr>
        <w:t>Prepare clear and actionable recommendations for ongoing support and resources to facilitate the transition.</w:t>
      </w:r>
    </w:p>
    <w:p w14:paraId="5FCD2811" w14:textId="77777777" w:rsidR="00B86416" w:rsidRPr="00522297" w:rsidRDefault="00B86416" w:rsidP="00DB3884">
      <w:pPr>
        <w:pStyle w:val="ListParagraph"/>
        <w:ind w:left="1080"/>
        <w:jc w:val="both"/>
        <w:rPr>
          <w:rFonts w:ascii="Times New Roman" w:eastAsiaTheme="minorEastAsia" w:hAnsi="Times New Roman" w:cs="Times New Roman"/>
          <w:color w:val="000000"/>
          <w:kern w:val="0"/>
          <w:sz w:val="22"/>
          <w:szCs w:val="22"/>
          <w14:ligatures w14:val="none"/>
        </w:rPr>
      </w:pPr>
    </w:p>
    <w:p w14:paraId="5C870757" w14:textId="77777777" w:rsidR="00B86416" w:rsidRPr="0090107A" w:rsidRDefault="00B86416" w:rsidP="00DB3884">
      <w:pPr>
        <w:pStyle w:val="ListParagraph"/>
        <w:numPr>
          <w:ilvl w:val="0"/>
          <w:numId w:val="5"/>
        </w:numPr>
        <w:jc w:val="both"/>
        <w:rPr>
          <w:rFonts w:ascii="Times New Roman" w:hAnsi="Times New Roman" w:cs="Times New Roman"/>
          <w:b/>
          <w:bCs/>
        </w:rPr>
      </w:pPr>
      <w:r w:rsidRPr="0090107A">
        <w:rPr>
          <w:rFonts w:ascii="Times New Roman" w:hAnsi="Times New Roman" w:cs="Times New Roman"/>
          <w:b/>
          <w:bCs/>
        </w:rPr>
        <w:t>Timeframe and Duration</w:t>
      </w:r>
    </w:p>
    <w:p w14:paraId="4331756A" w14:textId="4C92F6EA" w:rsidR="00B86416" w:rsidRDefault="00B86416" w:rsidP="00DB3884">
      <w:pPr>
        <w:pStyle w:val="NormalWeb"/>
        <w:spacing w:before="75" w:beforeAutospacing="0" w:after="75" w:afterAutospacing="0" w:line="300" w:lineRule="atLeast"/>
        <w:ind w:right="75"/>
        <w:jc w:val="both"/>
        <w:rPr>
          <w:color w:val="000000"/>
          <w:szCs w:val="21"/>
        </w:rPr>
      </w:pPr>
      <w:r w:rsidRPr="00236F50">
        <w:rPr>
          <w:color w:val="000000"/>
          <w:szCs w:val="21"/>
        </w:rPr>
        <w:t xml:space="preserve">The project will span over </w:t>
      </w:r>
      <w:r w:rsidR="002320F9">
        <w:rPr>
          <w:color w:val="000000"/>
          <w:szCs w:val="21"/>
        </w:rPr>
        <w:t>4</w:t>
      </w:r>
      <w:r w:rsidRPr="00236F50">
        <w:rPr>
          <w:color w:val="000000"/>
          <w:szCs w:val="21"/>
        </w:rPr>
        <w:t xml:space="preserve"> (f</w:t>
      </w:r>
      <w:r w:rsidR="002320F9">
        <w:rPr>
          <w:color w:val="000000"/>
          <w:szCs w:val="21"/>
        </w:rPr>
        <w:t>our</w:t>
      </w:r>
      <w:r w:rsidRPr="00236F50">
        <w:rPr>
          <w:color w:val="000000"/>
          <w:szCs w:val="21"/>
        </w:rPr>
        <w:t xml:space="preserve">) months. </w:t>
      </w:r>
    </w:p>
    <w:p w14:paraId="5B72310F" w14:textId="77777777" w:rsidR="00B86416" w:rsidRPr="00236F50" w:rsidRDefault="00B86416" w:rsidP="00DB3884">
      <w:pPr>
        <w:pStyle w:val="NormalWeb"/>
        <w:spacing w:before="75" w:beforeAutospacing="0" w:after="75" w:afterAutospacing="0" w:line="300" w:lineRule="atLeast"/>
        <w:ind w:right="75"/>
        <w:jc w:val="both"/>
        <w:rPr>
          <w:color w:val="000000"/>
          <w:szCs w:val="21"/>
        </w:rPr>
      </w:pPr>
    </w:p>
    <w:p w14:paraId="46D0E637" w14:textId="77777777" w:rsidR="00B86416" w:rsidRPr="00D04D65" w:rsidRDefault="00B86416" w:rsidP="00DB3884">
      <w:pPr>
        <w:pStyle w:val="ListParagraph"/>
        <w:numPr>
          <w:ilvl w:val="0"/>
          <w:numId w:val="5"/>
        </w:numPr>
        <w:jc w:val="both"/>
        <w:rPr>
          <w:rFonts w:ascii="Times New Roman" w:hAnsi="Times New Roman" w:cs="Times New Roman"/>
          <w:b/>
          <w:bCs/>
          <w:sz w:val="22"/>
          <w:szCs w:val="22"/>
        </w:rPr>
      </w:pPr>
      <w:r w:rsidRPr="00D04D65">
        <w:rPr>
          <w:rFonts w:ascii="Times New Roman" w:hAnsi="Times New Roman" w:cs="Times New Roman"/>
          <w:b/>
          <w:bCs/>
          <w:sz w:val="22"/>
          <w:szCs w:val="22"/>
        </w:rPr>
        <w:t>Deliverables</w:t>
      </w:r>
    </w:p>
    <w:tbl>
      <w:tblPr>
        <w:tblStyle w:val="TableGrid1"/>
        <w:tblW w:w="0" w:type="auto"/>
        <w:jc w:val="center"/>
        <w:tblLook w:val="04A0" w:firstRow="1" w:lastRow="0" w:firstColumn="1" w:lastColumn="0" w:noHBand="0" w:noVBand="1"/>
      </w:tblPr>
      <w:tblGrid>
        <w:gridCol w:w="470"/>
        <w:gridCol w:w="6545"/>
        <w:gridCol w:w="2138"/>
      </w:tblGrid>
      <w:tr w:rsidR="00B86416" w:rsidRPr="009E1774" w14:paraId="55273FD1" w14:textId="77777777" w:rsidTr="00295433">
        <w:trPr>
          <w:trHeight w:val="224"/>
          <w:jc w:val="center"/>
        </w:trPr>
        <w:tc>
          <w:tcPr>
            <w:tcW w:w="470" w:type="dxa"/>
          </w:tcPr>
          <w:p w14:paraId="571C96AF"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w:t>
            </w:r>
          </w:p>
        </w:tc>
        <w:tc>
          <w:tcPr>
            <w:tcW w:w="6545" w:type="dxa"/>
          </w:tcPr>
          <w:p w14:paraId="7ECD9515"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Description</w:t>
            </w:r>
          </w:p>
        </w:tc>
        <w:tc>
          <w:tcPr>
            <w:tcW w:w="2138" w:type="dxa"/>
          </w:tcPr>
          <w:p w14:paraId="2FDD3AD8"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Deadline</w:t>
            </w:r>
          </w:p>
        </w:tc>
      </w:tr>
      <w:tr w:rsidR="00B86416" w:rsidRPr="009E1774" w14:paraId="2DB7FA89" w14:textId="77777777" w:rsidTr="00295433">
        <w:trPr>
          <w:trHeight w:val="908"/>
          <w:jc w:val="center"/>
        </w:trPr>
        <w:tc>
          <w:tcPr>
            <w:tcW w:w="470" w:type="dxa"/>
          </w:tcPr>
          <w:p w14:paraId="5DC81C7A"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1</w:t>
            </w:r>
          </w:p>
        </w:tc>
        <w:tc>
          <w:tcPr>
            <w:tcW w:w="6545" w:type="dxa"/>
          </w:tcPr>
          <w:p w14:paraId="60F94F35" w14:textId="77777777" w:rsidR="00B86416" w:rsidRPr="009E1774" w:rsidRDefault="00B86416" w:rsidP="00DB3884">
            <w:pPr>
              <w:spacing w:line="259" w:lineRule="auto"/>
              <w:jc w:val="both"/>
              <w:rPr>
                <w:rFonts w:ascii="Times New Roman" w:hAnsi="Times New Roman" w:cs="Times New Roman"/>
              </w:rPr>
            </w:pPr>
            <w:r w:rsidRPr="00752963">
              <w:rPr>
                <w:rFonts w:ascii="Times New Roman" w:hAnsi="Times New Roman" w:cs="Times New Roman"/>
              </w:rPr>
              <w:t>Inception report outlining the detailed methodology, timeline, and stakeholder engagement approach.</w:t>
            </w:r>
          </w:p>
        </w:tc>
        <w:tc>
          <w:tcPr>
            <w:tcW w:w="2138" w:type="dxa"/>
          </w:tcPr>
          <w:p w14:paraId="57608AC1" w14:textId="77777777" w:rsidR="00B86416" w:rsidRPr="009E1774" w:rsidRDefault="00B86416" w:rsidP="00DB3884">
            <w:pPr>
              <w:spacing w:line="240" w:lineRule="auto"/>
              <w:jc w:val="both"/>
              <w:rPr>
                <w:rFonts w:ascii="Times New Roman" w:hAnsi="Times New Roman" w:cs="Times New Roman"/>
              </w:rPr>
            </w:pPr>
            <w:r>
              <w:rPr>
                <w:rFonts w:ascii="Times New Roman" w:hAnsi="Times New Roman" w:cs="Times New Roman"/>
              </w:rPr>
              <w:t>2</w:t>
            </w:r>
            <w:r w:rsidRPr="009E1774">
              <w:rPr>
                <w:rFonts w:ascii="Times New Roman" w:hAnsi="Times New Roman" w:cs="Times New Roman"/>
              </w:rPr>
              <w:t xml:space="preserve"> (t</w:t>
            </w:r>
            <w:r>
              <w:rPr>
                <w:rFonts w:ascii="Times New Roman" w:hAnsi="Times New Roman" w:cs="Times New Roman"/>
              </w:rPr>
              <w:t>wo</w:t>
            </w:r>
            <w:r w:rsidRPr="009E1774">
              <w:rPr>
                <w:rFonts w:ascii="Times New Roman" w:hAnsi="Times New Roman" w:cs="Times New Roman"/>
              </w:rPr>
              <w:t>) weeks after contract signing</w:t>
            </w:r>
          </w:p>
        </w:tc>
      </w:tr>
      <w:tr w:rsidR="00B86416" w:rsidRPr="009E1774" w14:paraId="361C7C6A" w14:textId="77777777" w:rsidTr="00295433">
        <w:trPr>
          <w:trHeight w:val="918"/>
          <w:jc w:val="center"/>
        </w:trPr>
        <w:tc>
          <w:tcPr>
            <w:tcW w:w="470" w:type="dxa"/>
          </w:tcPr>
          <w:p w14:paraId="06132D3E"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2</w:t>
            </w:r>
          </w:p>
        </w:tc>
        <w:tc>
          <w:tcPr>
            <w:tcW w:w="6545" w:type="dxa"/>
          </w:tcPr>
          <w:p w14:paraId="28BB6457" w14:textId="77777777" w:rsidR="00B86416" w:rsidRPr="009E1774" w:rsidRDefault="00B86416" w:rsidP="00DB3884">
            <w:pPr>
              <w:spacing w:line="259" w:lineRule="auto"/>
              <w:jc w:val="both"/>
              <w:rPr>
                <w:rFonts w:ascii="Times New Roman" w:hAnsi="Times New Roman" w:cs="Times New Roman"/>
              </w:rPr>
            </w:pPr>
            <w:r w:rsidRPr="00227E7F">
              <w:rPr>
                <w:rFonts w:ascii="Times New Roman" w:hAnsi="Times New Roman" w:cs="Times New Roman"/>
              </w:rPr>
              <w:t>Initial Assessment and Planning Report</w:t>
            </w:r>
            <w:r w:rsidRPr="009E1774">
              <w:rPr>
                <w:rFonts w:ascii="Times New Roman" w:hAnsi="Times New Roman" w:cs="Times New Roman"/>
              </w:rPr>
              <w:t xml:space="preserve">, </w:t>
            </w:r>
            <w:r w:rsidRPr="004E1EE6">
              <w:rPr>
                <w:rFonts w:ascii="Times New Roman" w:hAnsi="Times New Roman" w:cs="Times New Roman"/>
              </w:rPr>
              <w:t xml:space="preserve">outlining </w:t>
            </w:r>
            <w:r>
              <w:rPr>
                <w:rFonts w:ascii="Times New Roman" w:hAnsi="Times New Roman" w:cs="Times New Roman"/>
              </w:rPr>
              <w:t>the</w:t>
            </w:r>
            <w:r w:rsidRPr="00824FCE">
              <w:rPr>
                <w:rFonts w:ascii="Times New Roman" w:hAnsi="Times New Roman" w:cs="Times New Roman"/>
              </w:rPr>
              <w:t xml:space="preserve"> analyses </w:t>
            </w:r>
            <w:r>
              <w:rPr>
                <w:rFonts w:ascii="Times New Roman" w:hAnsi="Times New Roman" w:cs="Times New Roman"/>
              </w:rPr>
              <w:t xml:space="preserve">of </w:t>
            </w:r>
            <w:r w:rsidRPr="00824FCE">
              <w:rPr>
                <w:rFonts w:ascii="Times New Roman" w:hAnsi="Times New Roman" w:cs="Times New Roman"/>
              </w:rPr>
              <w:t>the compliance of eKarton and ePrescription with EHDS structures</w:t>
            </w:r>
            <w:r>
              <w:rPr>
                <w:rFonts w:ascii="Times New Roman" w:hAnsi="Times New Roman" w:cs="Times New Roman"/>
              </w:rPr>
              <w:t>,</w:t>
            </w:r>
            <w:r w:rsidRPr="00824FCE">
              <w:rPr>
                <w:rFonts w:ascii="Times New Roman" w:hAnsi="Times New Roman" w:cs="Times New Roman"/>
              </w:rPr>
              <w:t xml:space="preserve"> steps for integration with eHDSI, and assesses alignment with EOSC to ensure interoperability of biomedical and health research data.</w:t>
            </w:r>
          </w:p>
        </w:tc>
        <w:tc>
          <w:tcPr>
            <w:tcW w:w="2138" w:type="dxa"/>
          </w:tcPr>
          <w:p w14:paraId="380515A7" w14:textId="54FCDF57" w:rsidR="00B86416" w:rsidRPr="009E1774" w:rsidRDefault="00AF220A" w:rsidP="00DB3884">
            <w:pPr>
              <w:spacing w:line="240" w:lineRule="auto"/>
              <w:jc w:val="both"/>
              <w:rPr>
                <w:rFonts w:ascii="Times New Roman" w:hAnsi="Times New Roman" w:cs="Times New Roman"/>
              </w:rPr>
            </w:pPr>
            <w:r>
              <w:rPr>
                <w:rFonts w:ascii="Times New Roman" w:hAnsi="Times New Roman" w:cs="Times New Roman"/>
              </w:rPr>
              <w:t>6</w:t>
            </w:r>
            <w:r w:rsidR="00B86416" w:rsidRPr="009E1774">
              <w:rPr>
                <w:rFonts w:ascii="Times New Roman" w:hAnsi="Times New Roman" w:cs="Times New Roman"/>
              </w:rPr>
              <w:t xml:space="preserve"> (</w:t>
            </w:r>
            <w:r>
              <w:rPr>
                <w:rFonts w:ascii="Times New Roman" w:hAnsi="Times New Roman" w:cs="Times New Roman"/>
              </w:rPr>
              <w:t>six</w:t>
            </w:r>
            <w:r w:rsidR="00B86416" w:rsidRPr="009E1774">
              <w:rPr>
                <w:rFonts w:ascii="Times New Roman" w:hAnsi="Times New Roman" w:cs="Times New Roman"/>
              </w:rPr>
              <w:t>) weeks after contract signing</w:t>
            </w:r>
          </w:p>
        </w:tc>
      </w:tr>
      <w:tr w:rsidR="00B86416" w:rsidRPr="009E1774" w14:paraId="243F029D" w14:textId="77777777" w:rsidTr="00295433">
        <w:trPr>
          <w:trHeight w:val="1367"/>
          <w:jc w:val="center"/>
        </w:trPr>
        <w:tc>
          <w:tcPr>
            <w:tcW w:w="470" w:type="dxa"/>
          </w:tcPr>
          <w:p w14:paraId="7DDDB2B0"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3</w:t>
            </w:r>
          </w:p>
        </w:tc>
        <w:tc>
          <w:tcPr>
            <w:tcW w:w="6545" w:type="dxa"/>
          </w:tcPr>
          <w:p w14:paraId="3D1D1561" w14:textId="77777777" w:rsidR="00B86416" w:rsidRPr="009E1774" w:rsidRDefault="00B86416" w:rsidP="00DB3884">
            <w:pPr>
              <w:spacing w:line="259" w:lineRule="auto"/>
              <w:jc w:val="both"/>
              <w:rPr>
                <w:rFonts w:ascii="Times New Roman" w:hAnsi="Times New Roman" w:cs="Times New Roman"/>
              </w:rPr>
            </w:pPr>
            <w:r w:rsidRPr="00BA52BB">
              <w:rPr>
                <w:rFonts w:ascii="Times New Roman" w:hAnsi="Times New Roman" w:cs="Times New Roman"/>
              </w:rPr>
              <w:t>Technical and Organizational Mapping Report</w:t>
            </w:r>
            <w:r>
              <w:rPr>
                <w:rFonts w:ascii="Times New Roman" w:hAnsi="Times New Roman" w:cs="Times New Roman"/>
              </w:rPr>
              <w:t xml:space="preserve"> outlining requirements for m</w:t>
            </w:r>
            <w:r w:rsidRPr="005E2FB3">
              <w:rPr>
                <w:rFonts w:ascii="Times New Roman" w:hAnsi="Times New Roman" w:cs="Times New Roman"/>
              </w:rPr>
              <w:t>ap</w:t>
            </w:r>
            <w:r>
              <w:rPr>
                <w:rFonts w:ascii="Times New Roman" w:hAnsi="Times New Roman" w:cs="Times New Roman"/>
              </w:rPr>
              <w:t>ping</w:t>
            </w:r>
            <w:r w:rsidRPr="005E2FB3">
              <w:rPr>
                <w:rFonts w:ascii="Times New Roman" w:hAnsi="Times New Roman" w:cs="Times New Roman"/>
              </w:rPr>
              <w:t xml:space="preserve"> the existing data structures to the required interoperability standards</w:t>
            </w:r>
            <w:r>
              <w:rPr>
                <w:rFonts w:ascii="Times New Roman" w:hAnsi="Times New Roman" w:cs="Times New Roman"/>
              </w:rPr>
              <w:t>, i</w:t>
            </w:r>
            <w:r w:rsidRPr="00BA52BB">
              <w:rPr>
                <w:rFonts w:ascii="Times New Roman" w:hAnsi="Times New Roman" w:cs="Times New Roman"/>
              </w:rPr>
              <w:t>dentif</w:t>
            </w:r>
            <w:r>
              <w:rPr>
                <w:rFonts w:ascii="Times New Roman" w:hAnsi="Times New Roman" w:cs="Times New Roman"/>
              </w:rPr>
              <w:t>ying</w:t>
            </w:r>
            <w:r w:rsidRPr="00BA52BB">
              <w:rPr>
                <w:rFonts w:ascii="Times New Roman" w:hAnsi="Times New Roman" w:cs="Times New Roman"/>
              </w:rPr>
              <w:t xml:space="preserve"> and document</w:t>
            </w:r>
            <w:r>
              <w:rPr>
                <w:rFonts w:ascii="Times New Roman" w:hAnsi="Times New Roman" w:cs="Times New Roman"/>
              </w:rPr>
              <w:t>ing</w:t>
            </w:r>
            <w:r w:rsidRPr="00BA52BB">
              <w:rPr>
                <w:rFonts w:ascii="Times New Roman" w:hAnsi="Times New Roman" w:cs="Times New Roman"/>
              </w:rPr>
              <w:t xml:space="preserve"> the necessary technical, legislative, regulatory and procedural adaptations</w:t>
            </w:r>
            <w:r w:rsidRPr="009E1774">
              <w:rPr>
                <w:rFonts w:ascii="Times New Roman" w:hAnsi="Times New Roman" w:cs="Times New Roman"/>
              </w:rPr>
              <w:t>.</w:t>
            </w:r>
          </w:p>
        </w:tc>
        <w:tc>
          <w:tcPr>
            <w:tcW w:w="2138" w:type="dxa"/>
          </w:tcPr>
          <w:p w14:paraId="1FCA056E" w14:textId="3FD2A5CC"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1</w:t>
            </w:r>
            <w:r w:rsidR="00AF220A">
              <w:rPr>
                <w:rFonts w:ascii="Times New Roman" w:hAnsi="Times New Roman" w:cs="Times New Roman"/>
              </w:rPr>
              <w:t>4</w:t>
            </w:r>
            <w:r w:rsidRPr="009E1774">
              <w:rPr>
                <w:rFonts w:ascii="Times New Roman" w:hAnsi="Times New Roman" w:cs="Times New Roman"/>
              </w:rPr>
              <w:t xml:space="preserve"> (</w:t>
            </w:r>
            <w:r w:rsidR="00AF220A">
              <w:rPr>
                <w:rFonts w:ascii="Times New Roman" w:hAnsi="Times New Roman" w:cs="Times New Roman"/>
              </w:rPr>
              <w:t>fourteen</w:t>
            </w:r>
            <w:r w:rsidRPr="009E1774">
              <w:rPr>
                <w:rFonts w:ascii="Times New Roman" w:hAnsi="Times New Roman" w:cs="Times New Roman"/>
              </w:rPr>
              <w:t>) weeks after contract signing</w:t>
            </w:r>
          </w:p>
        </w:tc>
      </w:tr>
      <w:tr w:rsidR="00B86416" w:rsidRPr="009E1774" w14:paraId="17291FD7" w14:textId="77777777" w:rsidTr="00295433">
        <w:trPr>
          <w:trHeight w:val="1142"/>
          <w:jc w:val="center"/>
        </w:trPr>
        <w:tc>
          <w:tcPr>
            <w:tcW w:w="470" w:type="dxa"/>
          </w:tcPr>
          <w:p w14:paraId="2053F69C"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4</w:t>
            </w:r>
          </w:p>
        </w:tc>
        <w:tc>
          <w:tcPr>
            <w:tcW w:w="6545" w:type="dxa"/>
          </w:tcPr>
          <w:p w14:paraId="502893A4" w14:textId="77777777" w:rsidR="00B86416" w:rsidRPr="009E1774" w:rsidRDefault="00B86416" w:rsidP="00DB3884">
            <w:pPr>
              <w:spacing w:line="259" w:lineRule="auto"/>
              <w:jc w:val="both"/>
              <w:rPr>
                <w:rFonts w:ascii="Times New Roman" w:hAnsi="Times New Roman" w:cs="Times New Roman"/>
              </w:rPr>
            </w:pPr>
            <w:r w:rsidRPr="00444AED">
              <w:rPr>
                <w:rFonts w:ascii="Times New Roman" w:hAnsi="Times New Roman" w:cs="Times New Roman"/>
              </w:rPr>
              <w:t>Capacity Building</w:t>
            </w:r>
            <w:r>
              <w:rPr>
                <w:rFonts w:ascii="Times New Roman" w:hAnsi="Times New Roman" w:cs="Times New Roman"/>
              </w:rPr>
              <w:t xml:space="preserve"> Report on </w:t>
            </w:r>
            <w:r w:rsidRPr="00E03287">
              <w:rPr>
                <w:rFonts w:ascii="Times New Roman" w:hAnsi="Times New Roman" w:cs="Times New Roman"/>
              </w:rPr>
              <w:t>delivered training materials</w:t>
            </w:r>
            <w:r>
              <w:rPr>
                <w:rFonts w:ascii="Times New Roman" w:hAnsi="Times New Roman" w:cs="Times New Roman"/>
              </w:rPr>
              <w:t xml:space="preserve">, workshops and seminars </w:t>
            </w:r>
            <w:r w:rsidRPr="00906925">
              <w:rPr>
                <w:rFonts w:ascii="Times New Roman" w:hAnsi="Times New Roman" w:cs="Times New Roman"/>
              </w:rPr>
              <w:t>focused on cross-border collaboration, interoperability, and integration with EU frameworks</w:t>
            </w:r>
            <w:r>
              <w:rPr>
                <w:rFonts w:ascii="Times New Roman" w:hAnsi="Times New Roman" w:cs="Times New Roman"/>
              </w:rPr>
              <w:t xml:space="preserve"> organized, </w:t>
            </w:r>
            <w:r w:rsidRPr="00520703">
              <w:rPr>
                <w:rFonts w:ascii="Times New Roman" w:hAnsi="Times New Roman" w:cs="Times New Roman"/>
              </w:rPr>
              <w:t xml:space="preserve">and </w:t>
            </w:r>
            <w:r w:rsidRPr="00BE3371">
              <w:rPr>
                <w:rFonts w:ascii="Times New Roman" w:hAnsi="Times New Roman" w:cs="Times New Roman"/>
              </w:rPr>
              <w:t>document</w:t>
            </w:r>
            <w:r>
              <w:rPr>
                <w:rFonts w:ascii="Times New Roman" w:hAnsi="Times New Roman" w:cs="Times New Roman"/>
              </w:rPr>
              <w:t>ed</w:t>
            </w:r>
            <w:r w:rsidRPr="00BE3371">
              <w:rPr>
                <w:rFonts w:ascii="Times New Roman" w:hAnsi="Times New Roman" w:cs="Times New Roman"/>
              </w:rPr>
              <w:t xml:space="preserve"> key outcomes</w:t>
            </w:r>
            <w:r>
              <w:rPr>
                <w:rFonts w:ascii="Times New Roman" w:hAnsi="Times New Roman" w:cs="Times New Roman"/>
              </w:rPr>
              <w:t>.</w:t>
            </w:r>
          </w:p>
        </w:tc>
        <w:tc>
          <w:tcPr>
            <w:tcW w:w="2138" w:type="dxa"/>
          </w:tcPr>
          <w:p w14:paraId="3FB4D3AB" w14:textId="7007774E"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t>1</w:t>
            </w:r>
            <w:r w:rsidR="00AF220A">
              <w:rPr>
                <w:rFonts w:ascii="Times New Roman" w:hAnsi="Times New Roman" w:cs="Times New Roman"/>
              </w:rPr>
              <w:t>4</w:t>
            </w:r>
            <w:r w:rsidRPr="009E1774">
              <w:rPr>
                <w:rFonts w:ascii="Times New Roman" w:hAnsi="Times New Roman" w:cs="Times New Roman"/>
              </w:rPr>
              <w:t xml:space="preserve"> (</w:t>
            </w:r>
            <w:r w:rsidR="00AF220A">
              <w:rPr>
                <w:rFonts w:ascii="Times New Roman" w:hAnsi="Times New Roman" w:cs="Times New Roman"/>
              </w:rPr>
              <w:t>fou</w:t>
            </w:r>
            <w:r>
              <w:rPr>
                <w:rFonts w:ascii="Times New Roman" w:hAnsi="Times New Roman" w:cs="Times New Roman"/>
              </w:rPr>
              <w:t>teen</w:t>
            </w:r>
            <w:r w:rsidRPr="009E1774">
              <w:rPr>
                <w:rFonts w:ascii="Times New Roman" w:hAnsi="Times New Roman" w:cs="Times New Roman"/>
              </w:rPr>
              <w:t>) weeks after contract signing</w:t>
            </w:r>
          </w:p>
        </w:tc>
      </w:tr>
      <w:tr w:rsidR="00B86416" w:rsidRPr="009E1774" w14:paraId="5B7E92FF" w14:textId="77777777" w:rsidTr="00295433">
        <w:trPr>
          <w:trHeight w:val="1133"/>
          <w:jc w:val="center"/>
        </w:trPr>
        <w:tc>
          <w:tcPr>
            <w:tcW w:w="470" w:type="dxa"/>
          </w:tcPr>
          <w:p w14:paraId="1FB730FB" w14:textId="77777777" w:rsidR="00B86416" w:rsidRPr="009E1774" w:rsidRDefault="00B86416" w:rsidP="00DB3884">
            <w:pPr>
              <w:spacing w:line="240" w:lineRule="auto"/>
              <w:jc w:val="both"/>
              <w:rPr>
                <w:rFonts w:ascii="Times New Roman" w:hAnsi="Times New Roman" w:cs="Times New Roman"/>
              </w:rPr>
            </w:pPr>
            <w:r w:rsidRPr="009E1774">
              <w:rPr>
                <w:rFonts w:ascii="Times New Roman" w:hAnsi="Times New Roman" w:cs="Times New Roman"/>
              </w:rPr>
              <w:lastRenderedPageBreak/>
              <w:t>5</w:t>
            </w:r>
          </w:p>
        </w:tc>
        <w:tc>
          <w:tcPr>
            <w:tcW w:w="6545" w:type="dxa"/>
          </w:tcPr>
          <w:p w14:paraId="51DED7A9" w14:textId="77777777" w:rsidR="00B86416" w:rsidRPr="009E1774" w:rsidRDefault="00B86416" w:rsidP="00DB3884">
            <w:pPr>
              <w:spacing w:line="259" w:lineRule="auto"/>
              <w:jc w:val="both"/>
              <w:rPr>
                <w:rFonts w:ascii="Times New Roman" w:hAnsi="Times New Roman" w:cs="Times New Roman"/>
              </w:rPr>
            </w:pPr>
            <w:r w:rsidRPr="00465F1B">
              <w:rPr>
                <w:rFonts w:ascii="Times New Roman" w:hAnsi="Times New Roman" w:cs="Times New Roman"/>
              </w:rPr>
              <w:t>Final Project Report</w:t>
            </w:r>
            <w:r>
              <w:rPr>
                <w:rFonts w:ascii="Times New Roman" w:hAnsi="Times New Roman" w:cs="Times New Roman"/>
              </w:rPr>
              <w:t xml:space="preserve"> </w:t>
            </w:r>
            <w:r w:rsidRPr="00B3131D">
              <w:rPr>
                <w:rFonts w:ascii="Times New Roman" w:hAnsi="Times New Roman" w:cs="Times New Roman"/>
              </w:rPr>
              <w:t>summarizing the implementation</w:t>
            </w:r>
            <w:r>
              <w:rPr>
                <w:rFonts w:ascii="Times New Roman" w:hAnsi="Times New Roman" w:cs="Times New Roman"/>
              </w:rPr>
              <w:t xml:space="preserve"> path </w:t>
            </w:r>
            <w:r w:rsidRPr="00B3131D">
              <w:rPr>
                <w:rFonts w:ascii="Times New Roman" w:hAnsi="Times New Roman" w:cs="Times New Roman"/>
              </w:rPr>
              <w:t>with recommendations for future steps</w:t>
            </w:r>
            <w:r>
              <w:rPr>
                <w:rFonts w:ascii="Times New Roman" w:hAnsi="Times New Roman" w:cs="Times New Roman"/>
              </w:rPr>
              <w:t>.</w:t>
            </w:r>
          </w:p>
        </w:tc>
        <w:tc>
          <w:tcPr>
            <w:tcW w:w="2138" w:type="dxa"/>
          </w:tcPr>
          <w:p w14:paraId="6D045D5C" w14:textId="32A1C1B2" w:rsidR="00B86416" w:rsidRPr="009E1774" w:rsidRDefault="00AF220A" w:rsidP="00DB3884">
            <w:pPr>
              <w:spacing w:line="240" w:lineRule="auto"/>
              <w:jc w:val="both"/>
              <w:rPr>
                <w:rFonts w:ascii="Times New Roman" w:hAnsi="Times New Roman" w:cs="Times New Roman"/>
              </w:rPr>
            </w:pPr>
            <w:r>
              <w:rPr>
                <w:rFonts w:ascii="Times New Roman" w:hAnsi="Times New Roman" w:cs="Times New Roman"/>
              </w:rPr>
              <w:t>16</w:t>
            </w:r>
            <w:r w:rsidR="00B86416" w:rsidRPr="009E1774">
              <w:rPr>
                <w:rFonts w:ascii="Times New Roman" w:hAnsi="Times New Roman" w:cs="Times New Roman"/>
              </w:rPr>
              <w:t xml:space="preserve"> (</w:t>
            </w:r>
            <w:r>
              <w:rPr>
                <w:rFonts w:ascii="Times New Roman" w:hAnsi="Times New Roman" w:cs="Times New Roman"/>
              </w:rPr>
              <w:t>sixteen</w:t>
            </w:r>
            <w:r w:rsidR="00B86416" w:rsidRPr="009E1774">
              <w:rPr>
                <w:rFonts w:ascii="Times New Roman" w:hAnsi="Times New Roman" w:cs="Times New Roman"/>
              </w:rPr>
              <w:t>) week</w:t>
            </w:r>
            <w:r w:rsidR="00DC2809">
              <w:rPr>
                <w:rFonts w:ascii="Times New Roman" w:hAnsi="Times New Roman" w:cs="Times New Roman"/>
              </w:rPr>
              <w:t>s</w:t>
            </w:r>
            <w:r w:rsidR="00B86416" w:rsidRPr="009E1774">
              <w:rPr>
                <w:rFonts w:ascii="Times New Roman" w:hAnsi="Times New Roman" w:cs="Times New Roman"/>
              </w:rPr>
              <w:t xml:space="preserve"> after contract signing</w:t>
            </w:r>
          </w:p>
        </w:tc>
      </w:tr>
    </w:tbl>
    <w:p w14:paraId="21DA3527" w14:textId="77777777" w:rsidR="00B86416" w:rsidRPr="00316C0B" w:rsidRDefault="00B86416" w:rsidP="00DB3884">
      <w:pPr>
        <w:jc w:val="both"/>
      </w:pPr>
    </w:p>
    <w:p w14:paraId="4B35DDF4" w14:textId="77777777" w:rsidR="00B86416" w:rsidRPr="00AF2DAA" w:rsidRDefault="00B86416" w:rsidP="00DB3884">
      <w:pPr>
        <w:pStyle w:val="ListParagraph"/>
        <w:numPr>
          <w:ilvl w:val="0"/>
          <w:numId w:val="5"/>
        </w:numPr>
        <w:jc w:val="both"/>
        <w:rPr>
          <w:rFonts w:ascii="Times New Roman" w:hAnsi="Times New Roman" w:cs="Times New Roman"/>
          <w:b/>
          <w:bCs/>
          <w:sz w:val="22"/>
          <w:szCs w:val="22"/>
        </w:rPr>
      </w:pPr>
      <w:r w:rsidRPr="00F66EFA">
        <w:rPr>
          <w:rFonts w:ascii="Times New Roman" w:hAnsi="Times New Roman" w:cs="Times New Roman"/>
          <w:b/>
          <w:bCs/>
          <w:sz w:val="22"/>
          <w:szCs w:val="22"/>
        </w:rPr>
        <w:t>Consultant Qualifications</w:t>
      </w:r>
    </w:p>
    <w:p w14:paraId="6C90A9BD" w14:textId="77777777" w:rsidR="00B86416" w:rsidRPr="00AF2DAA"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836D21">
        <w:rPr>
          <w:rFonts w:ascii="Times New Roman" w:eastAsia="Times New Roman" w:hAnsi="Times New Roman" w:cs="Times New Roman"/>
          <w:kern w:val="0"/>
          <w:lang w:val="en-GB" w:eastAsia="en-GB"/>
          <w14:ligatures w14:val="none"/>
        </w:rPr>
        <w:t>The Consulting firm must have proven experience in implementing and maintaining data lineage frameworks that support secondary use of health data through harmonization, transformation, and minimization, and aligned with regulatory standards used in projects like DARWIN EU and FDA Best Practices.</w:t>
      </w:r>
    </w:p>
    <w:p w14:paraId="04CC982C" w14:textId="77777777" w:rsidR="00B86416" w:rsidRPr="00837974"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837974">
        <w:rPr>
          <w:rFonts w:ascii="Times New Roman" w:eastAsia="Times New Roman" w:hAnsi="Times New Roman" w:cs="Times New Roman"/>
          <w:kern w:val="0"/>
          <w:lang w:val="en-GB" w:eastAsia="en-GB"/>
          <w14:ligatures w14:val="none"/>
        </w:rPr>
        <w:t>The consulting team should have demonstrated experience in health data interoperability, IT architecture, and regulatory compliance to map the technical, organisational, and legal steps required for cross-border exchange of electronic health records, including gap analysis, workflow design, and governance planning.</w:t>
      </w:r>
    </w:p>
    <w:p w14:paraId="37F681AA" w14:textId="77777777" w:rsidR="00B86416" w:rsidRPr="009537C6"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836D21">
        <w:rPr>
          <w:rFonts w:ascii="Times New Roman" w:eastAsia="Times New Roman" w:hAnsi="Times New Roman" w:cs="Times New Roman"/>
          <w:kern w:val="0"/>
          <w:lang w:val="en-GB" w:eastAsia="en-GB"/>
          <w14:ligatures w14:val="none"/>
        </w:rPr>
        <w:t xml:space="preserve">The Consulting firm must have demonstrated capability in collecting and managing metadata across </w:t>
      </w:r>
      <w:r w:rsidRPr="00871184">
        <w:rPr>
          <w:rFonts w:ascii="Times New Roman" w:eastAsia="Times New Roman" w:hAnsi="Times New Roman" w:cs="Times New Roman"/>
          <w:kern w:val="0"/>
          <w:lang w:val="en-GB" w:eastAsia="en-GB"/>
          <w14:ligatures w14:val="none"/>
        </w:rPr>
        <w:t>multi-country health data sources</w:t>
      </w:r>
      <w:r>
        <w:rPr>
          <w:rFonts w:ascii="Times New Roman" w:eastAsia="Times New Roman" w:hAnsi="Times New Roman" w:cs="Times New Roman"/>
          <w:kern w:val="0"/>
          <w:lang w:val="en-GB" w:eastAsia="en-GB"/>
          <w14:ligatures w14:val="none"/>
        </w:rPr>
        <w:t xml:space="preserve"> and e</w:t>
      </w:r>
      <w:r w:rsidRPr="009537C6">
        <w:rPr>
          <w:rFonts w:ascii="Times New Roman" w:eastAsia="Times New Roman" w:hAnsi="Times New Roman" w:cs="Times New Roman"/>
          <w:kern w:val="0"/>
          <w:lang w:val="en-GB" w:eastAsia="en-GB"/>
          <w14:ligatures w14:val="none"/>
        </w:rPr>
        <w:t xml:space="preserve">xperience in implementing </w:t>
      </w:r>
      <w:r w:rsidRPr="00871184">
        <w:rPr>
          <w:rFonts w:ascii="Times New Roman" w:eastAsia="Times New Roman" w:hAnsi="Times New Roman" w:cs="Times New Roman"/>
          <w:kern w:val="0"/>
          <w:lang w:val="en-GB" w:eastAsia="en-GB"/>
          <w14:ligatures w14:val="none"/>
        </w:rPr>
        <w:t>DCAT-AP compliant metadata registries</w:t>
      </w:r>
      <w:r w:rsidRPr="009537C6">
        <w:rPr>
          <w:rFonts w:ascii="Times New Roman" w:eastAsia="Times New Roman" w:hAnsi="Times New Roman" w:cs="Times New Roman"/>
          <w:kern w:val="0"/>
          <w:lang w:val="en-GB" w:eastAsia="en-GB"/>
          <w14:ligatures w14:val="none"/>
        </w:rPr>
        <w:t xml:space="preserve"> to support semantic interoperability is mandatory.</w:t>
      </w:r>
    </w:p>
    <w:p w14:paraId="06D91AA6" w14:textId="77777777" w:rsidR="00B86416"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064163">
        <w:rPr>
          <w:rFonts w:ascii="Times New Roman" w:eastAsia="Times New Roman" w:hAnsi="Times New Roman" w:cs="Times New Roman"/>
          <w:kern w:val="0"/>
          <w:lang w:val="en-GB" w:eastAsia="en-GB"/>
          <w14:ligatures w14:val="none"/>
        </w:rPr>
        <w:t xml:space="preserve">Demonstrated practical experience as both </w:t>
      </w:r>
      <w:r w:rsidRPr="00CF4078">
        <w:rPr>
          <w:rFonts w:ascii="Times New Roman" w:eastAsia="Times New Roman" w:hAnsi="Times New Roman" w:cs="Times New Roman"/>
          <w:kern w:val="0"/>
          <w:lang w:val="en-GB" w:eastAsia="en-GB"/>
          <w14:ligatures w14:val="none"/>
        </w:rPr>
        <w:t>data processor and controller</w:t>
      </w:r>
      <w:r w:rsidRPr="00064163">
        <w:rPr>
          <w:rFonts w:ascii="Times New Roman" w:eastAsia="Times New Roman" w:hAnsi="Times New Roman" w:cs="Times New Roman"/>
          <w:kern w:val="0"/>
          <w:lang w:val="en-GB" w:eastAsia="en-GB"/>
          <w14:ligatures w14:val="none"/>
        </w:rPr>
        <w:t xml:space="preserve"> in implementing </w:t>
      </w:r>
      <w:r w:rsidRPr="00CF4078">
        <w:rPr>
          <w:rFonts w:ascii="Times New Roman" w:eastAsia="Times New Roman" w:hAnsi="Times New Roman" w:cs="Times New Roman"/>
          <w:kern w:val="0"/>
          <w:lang w:val="en-GB" w:eastAsia="en-GB"/>
          <w14:ligatures w14:val="none"/>
        </w:rPr>
        <w:t>GDPR-compliant safeguards</w:t>
      </w:r>
      <w:r w:rsidRPr="00064163">
        <w:rPr>
          <w:rFonts w:ascii="Times New Roman" w:eastAsia="Times New Roman" w:hAnsi="Times New Roman" w:cs="Times New Roman"/>
          <w:kern w:val="0"/>
          <w:lang w:val="en-GB" w:eastAsia="en-GB"/>
          <w14:ligatures w14:val="none"/>
        </w:rPr>
        <w:t>, including consent management, data minimization, and cross-border data transfer protocols is mandatory.</w:t>
      </w:r>
    </w:p>
    <w:p w14:paraId="51DFF525" w14:textId="77777777" w:rsidR="00B86416" w:rsidRDefault="00B86416" w:rsidP="00DB388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kern w:val="0"/>
          <w:lang w:val="en-GB" w:eastAsia="en-GB"/>
          <w14:ligatures w14:val="none"/>
        </w:rPr>
        <w:t>The Consulting firm must have d</w:t>
      </w:r>
      <w:r w:rsidRPr="001415E3">
        <w:rPr>
          <w:rFonts w:ascii="Times New Roman" w:eastAsia="Times New Roman" w:hAnsi="Times New Roman" w:cs="Times New Roman"/>
          <w:kern w:val="0"/>
          <w:lang w:val="en-GB" w:eastAsia="en-GB"/>
          <w14:ligatures w14:val="none"/>
        </w:rPr>
        <w:t xml:space="preserve">emonstrated expertise in </w:t>
      </w:r>
      <w:r w:rsidRPr="00CF4078">
        <w:rPr>
          <w:rFonts w:ascii="Times New Roman" w:eastAsia="Times New Roman" w:hAnsi="Times New Roman" w:cs="Times New Roman"/>
          <w:kern w:val="0"/>
          <w:lang w:val="en-GB" w:eastAsia="en-GB"/>
          <w14:ligatures w14:val="none"/>
        </w:rPr>
        <w:t>medical semantics,</w:t>
      </w:r>
      <w:r w:rsidRPr="001415E3">
        <w:rPr>
          <w:rFonts w:ascii="Times New Roman" w:eastAsia="Times New Roman" w:hAnsi="Times New Roman" w:cs="Times New Roman"/>
          <w:kern w:val="0"/>
          <w:lang w:val="en-GB" w:eastAsia="en-GB"/>
          <w14:ligatures w14:val="none"/>
        </w:rPr>
        <w:t xml:space="preserve"> including ontologies, taxonomies, and standards such </w:t>
      </w:r>
      <w:r w:rsidRPr="00CF4078">
        <w:rPr>
          <w:rFonts w:ascii="Times New Roman" w:eastAsia="Times New Roman" w:hAnsi="Times New Roman" w:cs="Times New Roman"/>
          <w:kern w:val="0"/>
          <w:lang w:val="en-GB" w:eastAsia="en-GB"/>
          <w14:ligatures w14:val="none"/>
        </w:rPr>
        <w:t>as SNOMED CT, LOINC</w:t>
      </w:r>
      <w:r w:rsidRPr="001415E3">
        <w:rPr>
          <w:rFonts w:ascii="Times New Roman" w:eastAsia="Times New Roman" w:hAnsi="Times New Roman" w:cs="Times New Roman"/>
          <w:kern w:val="0"/>
          <w:lang w:val="en-GB" w:eastAsia="en-GB"/>
          <w14:ligatures w14:val="none"/>
        </w:rPr>
        <w:t xml:space="preserve"> and </w:t>
      </w:r>
      <w:r w:rsidRPr="00CF4078">
        <w:rPr>
          <w:rFonts w:ascii="Times New Roman" w:eastAsia="Times New Roman" w:hAnsi="Times New Roman" w:cs="Times New Roman"/>
          <w:kern w:val="0"/>
          <w:lang w:val="en-GB" w:eastAsia="en-GB"/>
          <w14:ligatures w14:val="none"/>
        </w:rPr>
        <w:t>ICD-10</w:t>
      </w:r>
      <w:r>
        <w:rPr>
          <w:rFonts w:ascii="Times New Roman" w:eastAsia="Times New Roman" w:hAnsi="Times New Roman" w:cs="Times New Roman"/>
          <w:kern w:val="0"/>
          <w:lang w:val="en-GB" w:eastAsia="en-GB"/>
          <w14:ligatures w14:val="none"/>
        </w:rPr>
        <w:t xml:space="preserve"> and e</w:t>
      </w:r>
      <w:r w:rsidRPr="00CF4078">
        <w:rPr>
          <w:rFonts w:ascii="Times New Roman" w:eastAsia="Times New Roman" w:hAnsi="Times New Roman" w:cs="Times New Roman"/>
          <w:kern w:val="0"/>
          <w:lang w:val="en-GB" w:eastAsia="en-GB"/>
          <w14:ligatures w14:val="none"/>
        </w:rPr>
        <w:t>xperience in enabling cross-border drug and disease identification through semantic harmonization.</w:t>
      </w:r>
    </w:p>
    <w:p w14:paraId="17CC780B" w14:textId="77777777" w:rsidR="00B86416"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D0BF7">
        <w:rPr>
          <w:rFonts w:ascii="Times New Roman" w:eastAsia="Times New Roman" w:hAnsi="Times New Roman" w:cs="Times New Roman"/>
          <w:kern w:val="0"/>
          <w:lang w:val="en-GB" w:eastAsia="en-GB"/>
          <w14:ligatures w14:val="none"/>
        </w:rPr>
        <w:t xml:space="preserve">Proven track record of </w:t>
      </w:r>
      <w:r w:rsidRPr="00871184">
        <w:rPr>
          <w:rFonts w:ascii="Times New Roman" w:eastAsia="Times New Roman" w:hAnsi="Times New Roman" w:cs="Times New Roman"/>
          <w:kern w:val="0"/>
          <w:lang w:val="en-GB" w:eastAsia="en-GB"/>
          <w14:ligatures w14:val="none"/>
        </w:rPr>
        <w:t>curating and managing health data</w:t>
      </w:r>
      <w:r w:rsidRPr="00DD0BF7">
        <w:rPr>
          <w:rFonts w:ascii="Times New Roman" w:eastAsia="Times New Roman" w:hAnsi="Times New Roman" w:cs="Times New Roman"/>
          <w:kern w:val="0"/>
          <w:lang w:val="en-GB" w:eastAsia="en-GB"/>
          <w14:ligatures w14:val="none"/>
        </w:rPr>
        <w:t xml:space="preserve">, supporting use cases such as, Pharmacovigilance, Health Technology Assessment (HTA), Drug shortage monitoring, Health provider capacity management and Reimbursement modelling is </w:t>
      </w:r>
      <w:r>
        <w:rPr>
          <w:rFonts w:ascii="Times New Roman" w:eastAsia="Times New Roman" w:hAnsi="Times New Roman" w:cs="Times New Roman"/>
          <w:kern w:val="0"/>
          <w:lang w:val="en-GB" w:eastAsia="en-GB"/>
          <w14:ligatures w14:val="none"/>
        </w:rPr>
        <w:t>highly advantageus</w:t>
      </w:r>
      <w:r w:rsidRPr="00DD0BF7">
        <w:rPr>
          <w:rFonts w:ascii="Times New Roman" w:eastAsia="Times New Roman" w:hAnsi="Times New Roman" w:cs="Times New Roman"/>
          <w:kern w:val="0"/>
          <w:lang w:val="en-GB" w:eastAsia="en-GB"/>
          <w14:ligatures w14:val="none"/>
        </w:rPr>
        <w:t>.</w:t>
      </w:r>
    </w:p>
    <w:p w14:paraId="1A25EB2E" w14:textId="77777777" w:rsidR="00B86416"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A038B">
        <w:rPr>
          <w:rFonts w:ascii="Times New Roman" w:eastAsia="Times New Roman" w:hAnsi="Times New Roman" w:cs="Times New Roman"/>
          <w:kern w:val="0"/>
          <w:lang w:val="en-GB" w:eastAsia="en-GB"/>
          <w14:ligatures w14:val="none"/>
        </w:rPr>
        <w:t>Teams may also demonstrate experience in managing and governing health data, participation in OMOP CDM mapping projects or other academic/EU-funded health data projects, project management capabilities in complex, multi-stakeholder environments, expertise in medical data ontologies and interoperability frameworks, and knowledge of health data quality frameworks, as this will be considered an advantage.</w:t>
      </w:r>
    </w:p>
    <w:p w14:paraId="3BBC0B7E" w14:textId="77777777" w:rsidR="00B86416" w:rsidRDefault="00B86416" w:rsidP="00837974">
      <w:pPr>
        <w:numPr>
          <w:ilvl w:val="0"/>
          <w:numId w:val="4"/>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A038B">
        <w:rPr>
          <w:rFonts w:ascii="Times New Roman" w:eastAsia="Times New Roman" w:hAnsi="Times New Roman" w:cs="Times New Roman"/>
          <w:kern w:val="0"/>
          <w:lang w:val="en-GB" w:eastAsia="en-GB"/>
          <w14:ligatures w14:val="none"/>
        </w:rPr>
        <w:t>Experience in collaboration with public administration authorities and standards mapping will be considered an advantage. This includes demonstrated experience in providing healthcare consulting services to government authorities, experience in mapping national healthcare standards to international frameworks (including medical ontologies), and proven capability in implementing health information systems and enabling data interoperability.</w:t>
      </w:r>
    </w:p>
    <w:p w14:paraId="3811BB10" w14:textId="77777777" w:rsidR="00B86416" w:rsidRDefault="00B86416" w:rsidP="00DB3884">
      <w:pPr>
        <w:pStyle w:val="ListParagraph"/>
        <w:spacing w:before="100" w:beforeAutospacing="1" w:after="100" w:afterAutospacing="1" w:line="240" w:lineRule="auto"/>
        <w:ind w:left="1080"/>
        <w:jc w:val="both"/>
        <w:rPr>
          <w:rFonts w:ascii="Times New Roman" w:eastAsia="Times New Roman" w:hAnsi="Times New Roman" w:cs="Times New Roman"/>
          <w:kern w:val="0"/>
          <w:lang w:val="en-GB" w:eastAsia="en-GB"/>
          <w14:ligatures w14:val="none"/>
        </w:rPr>
      </w:pPr>
    </w:p>
    <w:p w14:paraId="1B4229EF" w14:textId="77777777" w:rsidR="00B86416" w:rsidRDefault="00B86416" w:rsidP="00837974">
      <w:pPr>
        <w:pStyle w:val="ListParagraph"/>
        <w:keepNext/>
        <w:numPr>
          <w:ilvl w:val="0"/>
          <w:numId w:val="5"/>
        </w:numPr>
        <w:spacing w:before="100" w:beforeAutospacing="1" w:after="100" w:afterAutospacing="1" w:line="240" w:lineRule="auto"/>
        <w:ind w:left="714" w:hanging="357"/>
        <w:jc w:val="both"/>
        <w:rPr>
          <w:rFonts w:ascii="Times New Roman" w:eastAsia="Times New Roman" w:hAnsi="Times New Roman" w:cs="Times New Roman"/>
          <w:b/>
          <w:bCs/>
          <w:kern w:val="0"/>
          <w:lang w:val="en-GB" w:eastAsia="en-GB"/>
          <w14:ligatures w14:val="none"/>
        </w:rPr>
      </w:pPr>
      <w:r w:rsidRPr="004F5A28">
        <w:rPr>
          <w:rFonts w:ascii="Times New Roman" w:eastAsia="Times New Roman" w:hAnsi="Times New Roman" w:cs="Times New Roman"/>
          <w:b/>
          <w:bCs/>
          <w:kern w:val="0"/>
          <w:lang w:val="en-GB" w:eastAsia="en-GB"/>
          <w14:ligatures w14:val="none"/>
        </w:rPr>
        <w:lastRenderedPageBreak/>
        <w:t>Team and Technical requirements</w:t>
      </w:r>
    </w:p>
    <w:p w14:paraId="544F767D" w14:textId="77777777" w:rsidR="00B86416" w:rsidRPr="004F5A28" w:rsidRDefault="00B86416" w:rsidP="00DB3884">
      <w:pPr>
        <w:pStyle w:val="ListParagraph"/>
        <w:spacing w:before="100" w:beforeAutospacing="1" w:after="100" w:afterAutospacing="1" w:line="240" w:lineRule="auto"/>
        <w:jc w:val="both"/>
        <w:rPr>
          <w:rFonts w:ascii="Times New Roman" w:eastAsia="Times New Roman" w:hAnsi="Times New Roman" w:cs="Times New Roman"/>
          <w:b/>
          <w:bCs/>
          <w:kern w:val="0"/>
          <w:lang w:val="en-GB" w:eastAsia="en-GB"/>
          <w14:ligatures w14:val="none"/>
        </w:rPr>
      </w:pPr>
    </w:p>
    <w:p w14:paraId="078169E3" w14:textId="77777777" w:rsidR="00B86416" w:rsidRDefault="00B86416" w:rsidP="00DB38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kern w:val="0"/>
          <w:lang w:val="en-GB" w:eastAsia="en-GB"/>
          <w14:ligatures w14:val="none"/>
        </w:rPr>
      </w:pPr>
      <w:r w:rsidRPr="004F5CC2">
        <w:rPr>
          <w:rFonts w:ascii="Times New Roman" w:eastAsia="Times New Roman" w:hAnsi="Times New Roman" w:cs="Times New Roman"/>
          <w:b/>
          <w:bCs/>
          <w:kern w:val="0"/>
          <w:lang w:val="en-GB" w:eastAsia="en-GB"/>
          <w14:ligatures w14:val="none"/>
        </w:rPr>
        <w:t xml:space="preserve">Key Expert 1: </w:t>
      </w:r>
      <w:r>
        <w:rPr>
          <w:rFonts w:ascii="Times New Roman" w:eastAsia="Times New Roman" w:hAnsi="Times New Roman" w:cs="Times New Roman"/>
          <w:b/>
          <w:bCs/>
          <w:kern w:val="0"/>
          <w:lang w:val="en-GB" w:eastAsia="en-GB"/>
          <w14:ligatures w14:val="none"/>
        </w:rPr>
        <w:t>Technical</w:t>
      </w:r>
      <w:r w:rsidRPr="004F5CC2">
        <w:rPr>
          <w:rFonts w:ascii="Times New Roman" w:eastAsia="Times New Roman" w:hAnsi="Times New Roman" w:cs="Times New Roman"/>
          <w:b/>
          <w:bCs/>
          <w:kern w:val="0"/>
          <w:lang w:val="en-GB" w:eastAsia="en-GB"/>
          <w14:ligatures w14:val="none"/>
        </w:rPr>
        <w:t xml:space="preserve"> Lead</w:t>
      </w:r>
    </w:p>
    <w:p w14:paraId="0AC7E017" w14:textId="77777777" w:rsidR="00B86416"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F7859">
        <w:rPr>
          <w:rFonts w:ascii="Times New Roman" w:eastAsia="Times New Roman" w:hAnsi="Times New Roman" w:cs="Times New Roman"/>
          <w:kern w:val="0"/>
          <w:lang w:val="en-GB" w:eastAsia="en-GB"/>
          <w14:ligatures w14:val="none"/>
        </w:rPr>
        <w:t>A minimum of a bachelor’s degree in Computer Science, Health Informatics, Information Systems, or a related field is required, while a master’s degree or higher in Health Informatics, Computer Science, or a related discipline is preferred.</w:t>
      </w:r>
    </w:p>
    <w:p w14:paraId="30EC95CB" w14:textId="77777777" w:rsidR="00B86416" w:rsidRPr="00923337"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923337">
        <w:rPr>
          <w:rFonts w:ascii="Times New Roman" w:eastAsia="Times New Roman" w:hAnsi="Times New Roman" w:cs="Times New Roman"/>
          <w:kern w:val="0"/>
          <w:lang w:val="en-GB" w:eastAsia="en-GB"/>
          <w14:ligatures w14:val="none"/>
        </w:rPr>
        <w:t>Over 15 years of experience in the Life Sciences industry, with demonstrated experience in health data privacy and governance, interoperability</w:t>
      </w:r>
    </w:p>
    <w:p w14:paraId="7F3B5280" w14:textId="77777777" w:rsidR="00B86416" w:rsidRPr="00923337"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923337">
        <w:rPr>
          <w:rFonts w:ascii="Times New Roman" w:eastAsia="Times New Roman" w:hAnsi="Times New Roman" w:cs="Times New Roman"/>
          <w:kern w:val="0"/>
          <w:lang w:val="en-GB" w:eastAsia="en-GB"/>
          <w14:ligatures w14:val="none"/>
        </w:rPr>
        <w:t>Demonstrated experience in European cross-border health services and EHR systems.</w:t>
      </w:r>
    </w:p>
    <w:p w14:paraId="21D8FCD3" w14:textId="77777777" w:rsidR="00B86416" w:rsidRPr="00923337"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923337">
        <w:rPr>
          <w:rFonts w:ascii="Times New Roman" w:eastAsia="Times New Roman" w:hAnsi="Times New Roman" w:cs="Times New Roman"/>
          <w:kern w:val="0"/>
          <w:lang w:val="en-GB" w:eastAsia="en-GB"/>
          <w14:ligatures w14:val="none"/>
        </w:rPr>
        <w:t>Demonstrated experience in digital implementation and the use of data standards like the OMOP common data model</w:t>
      </w:r>
    </w:p>
    <w:p w14:paraId="1C67FC1A" w14:textId="77777777" w:rsidR="00B86416"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923337">
        <w:rPr>
          <w:rFonts w:ascii="Times New Roman" w:eastAsia="Times New Roman" w:hAnsi="Times New Roman" w:cs="Times New Roman"/>
          <w:kern w:val="0"/>
          <w:lang w:val="en-GB" w:eastAsia="en-GB"/>
          <w14:ligatures w14:val="none"/>
        </w:rPr>
        <w:t>Expertise in health data privacy, governance, and interoperability.</w:t>
      </w:r>
    </w:p>
    <w:p w14:paraId="5C3F35EE" w14:textId="77777777" w:rsidR="00B86416" w:rsidRPr="00DF7859" w:rsidRDefault="00B86416" w:rsidP="00DB3884">
      <w:pPr>
        <w:pStyle w:val="ListParagraph"/>
        <w:spacing w:before="100" w:beforeAutospacing="1" w:after="100" w:afterAutospacing="1" w:line="240" w:lineRule="auto"/>
        <w:ind w:left="1800"/>
        <w:jc w:val="both"/>
        <w:rPr>
          <w:rFonts w:ascii="Times New Roman" w:eastAsia="Times New Roman" w:hAnsi="Times New Roman" w:cs="Times New Roman"/>
          <w:kern w:val="0"/>
          <w:lang w:val="en-GB" w:eastAsia="en-GB"/>
          <w14:ligatures w14:val="none"/>
        </w:rPr>
      </w:pPr>
    </w:p>
    <w:p w14:paraId="0004C60E" w14:textId="77777777" w:rsidR="00B86416" w:rsidRDefault="00B86416" w:rsidP="00DB38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kern w:val="0"/>
          <w:lang w:val="en-GB" w:eastAsia="en-GB"/>
          <w14:ligatures w14:val="none"/>
        </w:rPr>
      </w:pPr>
      <w:r>
        <w:rPr>
          <w:rFonts w:ascii="Times New Roman" w:eastAsia="Times New Roman" w:hAnsi="Times New Roman" w:cs="Times New Roman"/>
          <w:b/>
          <w:bCs/>
          <w:kern w:val="0"/>
          <w:lang w:val="en-GB" w:eastAsia="en-GB"/>
          <w14:ligatures w14:val="none"/>
        </w:rPr>
        <w:t xml:space="preserve">Key Expert 2: </w:t>
      </w:r>
      <w:r w:rsidRPr="007D4EB9">
        <w:rPr>
          <w:rFonts w:ascii="Times New Roman" w:eastAsia="Times New Roman" w:hAnsi="Times New Roman" w:cs="Times New Roman"/>
          <w:b/>
          <w:bCs/>
          <w:kern w:val="0"/>
          <w:lang w:val="en-GB" w:eastAsia="en-GB"/>
          <w14:ligatures w14:val="none"/>
        </w:rPr>
        <w:t>Health Data Standard Specialist</w:t>
      </w:r>
    </w:p>
    <w:p w14:paraId="522EAB5A" w14:textId="77777777" w:rsidR="00B86416" w:rsidRPr="00633E81" w:rsidRDefault="00B86416" w:rsidP="00DB3884">
      <w:pPr>
        <w:pStyle w:val="ListParagraph"/>
        <w:spacing w:before="100" w:beforeAutospacing="1" w:after="100" w:afterAutospacing="1" w:line="240" w:lineRule="auto"/>
        <w:ind w:left="1080"/>
        <w:jc w:val="both"/>
        <w:rPr>
          <w:rFonts w:ascii="Times New Roman" w:eastAsia="Times New Roman" w:hAnsi="Times New Roman" w:cs="Times New Roman"/>
          <w:kern w:val="0"/>
          <w:sz w:val="22"/>
          <w:szCs w:val="22"/>
          <w:lang w:val="en-GB" w:eastAsia="en-GB"/>
          <w14:ligatures w14:val="none"/>
        </w:rPr>
      </w:pPr>
      <w:r w:rsidRPr="00633E81">
        <w:rPr>
          <w:rFonts w:ascii="Times New Roman" w:eastAsia="Times New Roman" w:hAnsi="Times New Roman" w:cs="Times New Roman"/>
          <w:kern w:val="0"/>
          <w:sz w:val="22"/>
          <w:szCs w:val="22"/>
          <w:lang w:val="en-GB" w:eastAsia="en-GB"/>
          <w14:ligatures w14:val="none"/>
        </w:rPr>
        <w:t>A minimum of a bachelor’s degree in Health Informatics, Medical Informatics, Information Systems, or a related field is required, while a master’s degree or higher in a health-related subject matter or related discipline is preferred.</w:t>
      </w:r>
    </w:p>
    <w:p w14:paraId="6370723D"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Experience implementing DCAT-AP compliant metadata registries.</w:t>
      </w:r>
    </w:p>
    <w:p w14:paraId="6BDB6DFE"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Demonstrated expertise in medical semantics, ontologies, and taxonomies.</w:t>
      </w:r>
    </w:p>
    <w:p w14:paraId="5C178F53"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Experience in OMOP CDM mapping projects and EU-funded health data projects.</w:t>
      </w:r>
    </w:p>
    <w:p w14:paraId="0EE24C48"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Specialist with in-depth knowledge of international and European health data standards (such as HL7, FHIR, SNOMED CT, LOINC, ICD-10)</w:t>
      </w:r>
    </w:p>
    <w:p w14:paraId="1A951391"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Experienced in advising on best practices for health data exchange, and supporting interoperability across systems.</w:t>
      </w:r>
    </w:p>
    <w:p w14:paraId="641C57FF" w14:textId="77777777" w:rsidR="00B86416" w:rsidRDefault="00B86416" w:rsidP="00DB3884">
      <w:pPr>
        <w:pStyle w:val="ListParagraph"/>
        <w:spacing w:before="100" w:beforeAutospacing="1" w:after="100" w:afterAutospacing="1" w:line="240" w:lineRule="auto"/>
        <w:ind w:left="1440"/>
        <w:jc w:val="both"/>
        <w:rPr>
          <w:rFonts w:ascii="Times New Roman" w:eastAsia="Times New Roman" w:hAnsi="Times New Roman" w:cs="Times New Roman"/>
          <w:kern w:val="0"/>
          <w:sz w:val="22"/>
          <w:szCs w:val="22"/>
          <w:lang w:val="en-GB" w:eastAsia="en-GB"/>
          <w14:ligatures w14:val="none"/>
        </w:rPr>
      </w:pPr>
    </w:p>
    <w:p w14:paraId="2E68C5ED" w14:textId="77777777" w:rsidR="00B86416" w:rsidRPr="00DB3884" w:rsidRDefault="00B86416" w:rsidP="00DB38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kern w:val="0"/>
          <w:lang w:val="en-GB" w:eastAsia="en-GB"/>
          <w14:ligatures w14:val="none"/>
        </w:rPr>
      </w:pPr>
      <w:r w:rsidRPr="00DB3884">
        <w:rPr>
          <w:rFonts w:ascii="Times New Roman" w:eastAsia="Times New Roman" w:hAnsi="Times New Roman" w:cs="Times New Roman"/>
          <w:b/>
          <w:bCs/>
          <w:kern w:val="0"/>
          <w:lang w:val="en-GB" w:eastAsia="en-GB"/>
          <w14:ligatures w14:val="none"/>
        </w:rPr>
        <w:t>Key Expert 3: Serbian Health Data Expert (Domain Expert)</w:t>
      </w:r>
    </w:p>
    <w:p w14:paraId="047DEB58"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A minimum of a bachelor’s degree in Medicine, Health Informatics, Public Health, or a related field is required, while a master’s degree or higher in Medicine, Health Informatics, Public Health, or a related discipline is preferred.</w:t>
      </w:r>
    </w:p>
    <w:p w14:paraId="6DBA4511"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Over 10 years of experience in clinical research and/or health data management within the Serbian healthcare system.</w:t>
      </w:r>
    </w:p>
    <w:p w14:paraId="1DF87C90"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Deep understanding of Serbian health data regulations.</w:t>
      </w:r>
    </w:p>
    <w:p w14:paraId="60CF5CA1" w14:textId="77777777" w:rsidR="00B86416" w:rsidRDefault="00B86416" w:rsidP="00DB3884">
      <w:pPr>
        <w:pStyle w:val="ListParagraph"/>
        <w:spacing w:before="100" w:beforeAutospacing="1" w:after="100" w:afterAutospacing="1" w:line="240" w:lineRule="auto"/>
        <w:ind w:left="1440"/>
        <w:jc w:val="both"/>
        <w:rPr>
          <w:rFonts w:ascii="Times New Roman" w:eastAsia="Times New Roman" w:hAnsi="Times New Roman" w:cs="Times New Roman"/>
          <w:kern w:val="0"/>
          <w:sz w:val="22"/>
          <w:szCs w:val="22"/>
          <w:lang w:val="en-GB" w:eastAsia="en-GB"/>
          <w14:ligatures w14:val="none"/>
        </w:rPr>
      </w:pPr>
    </w:p>
    <w:p w14:paraId="0E216ECC" w14:textId="52A4FB77" w:rsidR="00B86416" w:rsidRPr="00DB3884" w:rsidRDefault="00DB3884" w:rsidP="00DB38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kern w:val="0"/>
          <w:lang w:val="en-GB" w:eastAsia="en-GB"/>
          <w14:ligatures w14:val="none"/>
        </w:rPr>
      </w:pPr>
      <w:r w:rsidRPr="00DB3884">
        <w:rPr>
          <w:rFonts w:ascii="Times New Roman" w:eastAsia="Times New Roman" w:hAnsi="Times New Roman" w:cs="Times New Roman"/>
          <w:b/>
          <w:bCs/>
          <w:kern w:val="0"/>
          <w:lang w:val="en-GB" w:eastAsia="en-GB"/>
          <w14:ligatures w14:val="none"/>
        </w:rPr>
        <w:t xml:space="preserve">Key Expert </w:t>
      </w:r>
      <w:r>
        <w:rPr>
          <w:rFonts w:ascii="Times New Roman" w:eastAsia="Times New Roman" w:hAnsi="Times New Roman" w:cs="Times New Roman"/>
          <w:b/>
          <w:bCs/>
          <w:kern w:val="0"/>
          <w:lang w:val="en-GB" w:eastAsia="en-GB"/>
          <w14:ligatures w14:val="none"/>
        </w:rPr>
        <w:t>4</w:t>
      </w:r>
      <w:r w:rsidR="00B86416" w:rsidRPr="00DB3884">
        <w:rPr>
          <w:rFonts w:ascii="Times New Roman" w:eastAsia="Times New Roman" w:hAnsi="Times New Roman" w:cs="Times New Roman"/>
          <w:b/>
          <w:bCs/>
          <w:kern w:val="0"/>
          <w:lang w:val="en-GB" w:eastAsia="en-GB"/>
          <w14:ligatures w14:val="none"/>
        </w:rPr>
        <w:t>: Project Manager</w:t>
      </w:r>
    </w:p>
    <w:p w14:paraId="33A44793" w14:textId="6E4BF1EC"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Over 10 years of experience in the Life Sciences industry</w:t>
      </w:r>
    </w:p>
    <w:p w14:paraId="405AA679" w14:textId="22E44D86"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 xml:space="preserve">A bachelor’s degree or accredited Project Management qualification from a reputable provider (Association of Project Management, Project Management Institute) </w:t>
      </w:r>
    </w:p>
    <w:p w14:paraId="70B14227" w14:textId="3A9C57FF"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Demonstrable experience of delivering ISO compliant data management systems and tools including solutions which are ISO 27559 (privacy-enhancing data de-identification quality), ISO 27001 (information security management system), ISO27017 (information security controls for cloud services) and ISO9001 (quality management system) compliant</w:t>
      </w:r>
    </w:p>
    <w:p w14:paraId="5B43B5F9" w14:textId="6769A2A2"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lastRenderedPageBreak/>
        <w:t>Demonstrated experience in providing healthcare consulting services to government authorities.</w:t>
      </w:r>
    </w:p>
    <w:p w14:paraId="4FA8E933" w14:textId="0A4103B2"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Proven track record of successfully managing complex, multi-stakeholder projects</w:t>
      </w:r>
    </w:p>
    <w:p w14:paraId="1E0717E8" w14:textId="77777777" w:rsidR="00B86416" w:rsidRDefault="00B86416" w:rsidP="00DB3884">
      <w:pPr>
        <w:pStyle w:val="ListParagraph"/>
        <w:spacing w:before="100" w:beforeAutospacing="1" w:after="100" w:afterAutospacing="1" w:line="240" w:lineRule="auto"/>
        <w:ind w:left="1080"/>
        <w:jc w:val="both"/>
        <w:rPr>
          <w:rFonts w:ascii="Times New Roman" w:eastAsia="Times New Roman" w:hAnsi="Times New Roman" w:cs="Times New Roman"/>
          <w:kern w:val="0"/>
          <w:sz w:val="22"/>
          <w:szCs w:val="22"/>
          <w:lang w:val="en-GB" w:eastAsia="en-GB"/>
          <w14:ligatures w14:val="none"/>
        </w:rPr>
      </w:pPr>
    </w:p>
    <w:p w14:paraId="112CD29C" w14:textId="77777777" w:rsidR="00B86416" w:rsidRDefault="00B86416" w:rsidP="00DB38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kern w:val="0"/>
          <w:sz w:val="22"/>
          <w:szCs w:val="22"/>
          <w:lang w:val="en-GB" w:eastAsia="en-GB"/>
          <w14:ligatures w14:val="none"/>
        </w:rPr>
      </w:pPr>
      <w:r w:rsidRPr="006707FB">
        <w:rPr>
          <w:rFonts w:ascii="Times New Roman" w:eastAsia="Times New Roman" w:hAnsi="Times New Roman" w:cs="Times New Roman"/>
          <w:b/>
          <w:bCs/>
          <w:kern w:val="0"/>
          <w:sz w:val="22"/>
          <w:szCs w:val="22"/>
          <w:lang w:val="en-GB" w:eastAsia="en-GB"/>
          <w14:ligatures w14:val="none"/>
        </w:rPr>
        <w:t>Non-key Expert 2</w:t>
      </w:r>
      <w:r>
        <w:rPr>
          <w:rFonts w:ascii="Times New Roman" w:eastAsia="Times New Roman" w:hAnsi="Times New Roman" w:cs="Times New Roman"/>
          <w:b/>
          <w:bCs/>
          <w:kern w:val="0"/>
          <w:sz w:val="22"/>
          <w:szCs w:val="22"/>
          <w:lang w:val="en-GB" w:eastAsia="en-GB"/>
          <w14:ligatures w14:val="none"/>
        </w:rPr>
        <w:t>: Data Analyst</w:t>
      </w:r>
    </w:p>
    <w:p w14:paraId="7F986E67"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A minimum of a bachelor’s degree in Statistics, Mathematics, Computer Science, Health Informatics, or a related field is required, while a master’s degree in Data Science, Health Informatics, or a related discipline is preferred.</w:t>
      </w:r>
    </w:p>
    <w:p w14:paraId="15D06D6A"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Experience in data mapping, simulation, and analysis in health or life sciences.</w:t>
      </w:r>
    </w:p>
    <w:p w14:paraId="7802490E"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Experience with privacy-preserving analytics (e.g., anonymization, de-identification, synthetic data generation, differential privacy).</w:t>
      </w:r>
    </w:p>
    <w:p w14:paraId="0AB99E38"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Familiarity with health data standards and interoperability frameworks.</w:t>
      </w:r>
    </w:p>
    <w:p w14:paraId="0DF76ED6" w14:textId="77777777" w:rsidR="00B86416" w:rsidRPr="00DB3884" w:rsidRDefault="00B86416" w:rsidP="00DB3884">
      <w:pPr>
        <w:pStyle w:val="ListParagraph"/>
        <w:numPr>
          <w:ilvl w:val="1"/>
          <w:numId w:val="7"/>
        </w:num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B3884">
        <w:rPr>
          <w:rFonts w:ascii="Times New Roman" w:eastAsia="Times New Roman" w:hAnsi="Times New Roman" w:cs="Times New Roman"/>
          <w:kern w:val="0"/>
          <w:lang w:val="en-GB" w:eastAsia="en-GB"/>
          <w14:ligatures w14:val="none"/>
        </w:rPr>
        <w:t>Proficiency in data visualization and reporting tools.</w:t>
      </w:r>
    </w:p>
    <w:p w14:paraId="6863CCD3" w14:textId="77777777" w:rsidR="00B86416" w:rsidRPr="00D04D65" w:rsidRDefault="00B86416" w:rsidP="00DB3884">
      <w:pPr>
        <w:pStyle w:val="ListParagraph"/>
        <w:numPr>
          <w:ilvl w:val="0"/>
          <w:numId w:val="5"/>
        </w:numPr>
        <w:jc w:val="both"/>
        <w:rPr>
          <w:rFonts w:ascii="Times New Roman" w:hAnsi="Times New Roman"/>
          <w:b/>
          <w:bCs/>
        </w:rPr>
      </w:pPr>
      <w:r w:rsidRPr="00D04D65">
        <w:rPr>
          <w:rFonts w:ascii="Times New Roman" w:hAnsi="Times New Roman"/>
          <w:b/>
          <w:bCs/>
        </w:rPr>
        <w:t>Evaluation</w:t>
      </w:r>
    </w:p>
    <w:p w14:paraId="654D8AED" w14:textId="4C174F92" w:rsidR="0086068B" w:rsidRDefault="00B86416" w:rsidP="00DB3884">
      <w:pPr>
        <w:jc w:val="both"/>
        <w:rPr>
          <w:rFonts w:ascii="Times New Roman" w:hAnsi="Times New Roman"/>
        </w:rPr>
      </w:pPr>
      <w:r w:rsidRPr="003C119E">
        <w:rPr>
          <w:rFonts w:ascii="Times New Roman" w:hAnsi="Times New Roman"/>
        </w:rPr>
        <w:t>The Consultant which obtains the highest score during evaluation of expressions of interest will be invited to submit technical and financial proposals.</w:t>
      </w:r>
      <w:r>
        <w:rPr>
          <w:rFonts w:ascii="Times New Roman" w:hAnsi="Times New Roman"/>
        </w:rPr>
        <w:t xml:space="preserve"> </w:t>
      </w:r>
    </w:p>
    <w:p w14:paraId="355478AB" w14:textId="3854A372" w:rsidR="0062407D" w:rsidRDefault="0062407D" w:rsidP="0062407D">
      <w:pPr>
        <w:pStyle w:val="ListParagraph"/>
        <w:numPr>
          <w:ilvl w:val="0"/>
          <w:numId w:val="5"/>
        </w:numPr>
        <w:jc w:val="both"/>
        <w:rPr>
          <w:rFonts w:ascii="Times New Roman" w:hAnsi="Times New Roman"/>
          <w:b/>
          <w:bCs/>
        </w:rPr>
      </w:pPr>
      <w:r w:rsidRPr="007363E5">
        <w:rPr>
          <w:rFonts w:ascii="Times New Roman" w:hAnsi="Times New Roman"/>
          <w:b/>
          <w:bCs/>
        </w:rPr>
        <w:t>Organization of the Ass</w:t>
      </w:r>
      <w:bookmarkStart w:id="0" w:name="_GoBack"/>
      <w:bookmarkEnd w:id="0"/>
      <w:r w:rsidRPr="007363E5">
        <w:rPr>
          <w:rFonts w:ascii="Times New Roman" w:hAnsi="Times New Roman"/>
          <w:b/>
          <w:bCs/>
        </w:rPr>
        <w:t>ignment</w:t>
      </w:r>
    </w:p>
    <w:p w14:paraId="220F16F8" w14:textId="5F36F892" w:rsidR="0062407D" w:rsidRDefault="0062407D" w:rsidP="0062407D">
      <w:pPr>
        <w:jc w:val="both"/>
        <w:rPr>
          <w:rFonts w:ascii="Times New Roman" w:hAnsi="Times New Roman"/>
        </w:rPr>
      </w:pPr>
      <w:r w:rsidRPr="007363E5">
        <w:rPr>
          <w:rFonts w:ascii="Times New Roman" w:hAnsi="Times New Roman"/>
        </w:rPr>
        <w:t>The selected firm shall undertake the assignment in close consultation with Office for IT and eGovernment (OITeG), which shall follow and support the assignment. The firm will report to the PIU for contract administration. All deliverables and reports shall be submitted to Office for IT and eGovernment (OITeG) with the PIU in copy. The Reports shall be submitted in English language. The working language is Serbian.</w:t>
      </w:r>
    </w:p>
    <w:p w14:paraId="2658BBAE" w14:textId="77777777" w:rsidR="0062407D" w:rsidRDefault="0062407D" w:rsidP="007363E5">
      <w:pPr>
        <w:pStyle w:val="ListParagraph"/>
        <w:numPr>
          <w:ilvl w:val="0"/>
          <w:numId w:val="5"/>
        </w:numPr>
        <w:jc w:val="both"/>
        <w:rPr>
          <w:rFonts w:ascii="Times New Roman" w:hAnsi="Times New Roman"/>
          <w:b/>
          <w:bCs/>
        </w:rPr>
      </w:pPr>
      <w:r w:rsidRPr="0062407D">
        <w:rPr>
          <w:rFonts w:ascii="Times New Roman" w:hAnsi="Times New Roman"/>
          <w:b/>
          <w:bCs/>
        </w:rPr>
        <w:t xml:space="preserve">Contract Type </w:t>
      </w:r>
    </w:p>
    <w:p w14:paraId="4725533D" w14:textId="32FCF29D" w:rsidR="0062407D" w:rsidRDefault="0062407D" w:rsidP="0062407D">
      <w:pPr>
        <w:jc w:val="both"/>
        <w:rPr>
          <w:rFonts w:ascii="Times New Roman" w:hAnsi="Times New Roman"/>
        </w:rPr>
      </w:pPr>
      <w:r w:rsidRPr="0062407D">
        <w:rPr>
          <w:rFonts w:ascii="Times New Roman" w:hAnsi="Times New Roman"/>
        </w:rPr>
        <w:t>A Lump-Sum contract shall be executed, with payments contingent on deliverable approvals and performance evaluations. Travel and accommodation expenses will be reimbursed in compliance with World Bank procurement regulations, requiring submission of supporting documentation.</w:t>
      </w:r>
    </w:p>
    <w:p w14:paraId="190BEA07" w14:textId="77777777" w:rsidR="000F0158" w:rsidRDefault="000F0158" w:rsidP="000F0158">
      <w:pPr>
        <w:pStyle w:val="ListParagraph"/>
        <w:numPr>
          <w:ilvl w:val="0"/>
          <w:numId w:val="5"/>
        </w:numPr>
        <w:jc w:val="both"/>
        <w:rPr>
          <w:rFonts w:ascii="Times New Roman" w:hAnsi="Times New Roman"/>
          <w:b/>
          <w:bCs/>
        </w:rPr>
      </w:pPr>
      <w:r w:rsidRPr="000F0158">
        <w:rPr>
          <w:rFonts w:ascii="Times New Roman" w:hAnsi="Times New Roman"/>
          <w:b/>
          <w:bCs/>
        </w:rPr>
        <w:t>Intellectual Property</w:t>
      </w:r>
    </w:p>
    <w:p w14:paraId="07C296BB" w14:textId="76B166F4" w:rsidR="000F0158" w:rsidRPr="007363E5" w:rsidRDefault="000F0158" w:rsidP="007363E5">
      <w:pPr>
        <w:jc w:val="both"/>
        <w:rPr>
          <w:rFonts w:ascii="Times New Roman" w:hAnsi="Times New Roman"/>
        </w:rPr>
      </w:pPr>
      <w:r w:rsidRPr="007363E5">
        <w:rPr>
          <w:rFonts w:ascii="Times New Roman" w:hAnsi="Times New Roman"/>
        </w:rPr>
        <w:t>The Government of Serbia retains full ownership and exclusive rights to all intellectual property developed under this contract. The firm is prohibited from reproducing, distributing, or using any work product without explicit written authorization from the Government of Serbia.</w:t>
      </w:r>
    </w:p>
    <w:p w14:paraId="2CF441E2" w14:textId="77777777" w:rsidR="0062407D" w:rsidRPr="0062407D" w:rsidRDefault="0062407D" w:rsidP="0062407D">
      <w:pPr>
        <w:jc w:val="both"/>
        <w:rPr>
          <w:rFonts w:ascii="Times New Roman" w:hAnsi="Times New Roman"/>
        </w:rPr>
      </w:pPr>
    </w:p>
    <w:sectPr w:rsidR="0062407D" w:rsidRPr="0062407D">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71E2A" w14:textId="77777777" w:rsidR="008B3569" w:rsidRDefault="008B3569">
      <w:pPr>
        <w:spacing w:after="0" w:line="240" w:lineRule="auto"/>
      </w:pPr>
      <w:r>
        <w:separator/>
      </w:r>
    </w:p>
  </w:endnote>
  <w:endnote w:type="continuationSeparator" w:id="0">
    <w:p w14:paraId="75C82310" w14:textId="77777777" w:rsidR="008B3569" w:rsidRDefault="008B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0675" w14:textId="591D2655" w:rsidR="00D77B45" w:rsidRDefault="00D77B45">
    <w:pPr>
      <w:pStyle w:val="Footer"/>
    </w:pPr>
    <w:r>
      <w:rPr>
        <w:noProof/>
        <w14:ligatures w14:val="none"/>
      </w:rPr>
      <mc:AlternateContent>
        <mc:Choice Requires="wps">
          <w:drawing>
            <wp:anchor distT="0" distB="0" distL="0" distR="0" simplePos="0" relativeHeight="251659264" behindDoc="0" locked="0" layoutInCell="1" allowOverlap="1" wp14:anchorId="4E546E4F" wp14:editId="07C7C318">
              <wp:simplePos x="635" y="635"/>
              <wp:positionH relativeFrom="page">
                <wp:align>right</wp:align>
              </wp:positionH>
              <wp:positionV relativeFrom="page">
                <wp:align>bottom</wp:align>
              </wp:positionV>
              <wp:extent cx="1102995" cy="370205"/>
              <wp:effectExtent l="0" t="0" r="0" b="0"/>
              <wp:wrapNone/>
              <wp:docPr id="1424906504"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6530D27" w14:textId="0B2C4027" w:rsidR="00D77B45" w:rsidRPr="00D77B45" w:rsidRDefault="00D77B45" w:rsidP="00D77B45">
                          <w:pPr>
                            <w:spacing w:after="0"/>
                            <w:rPr>
                              <w:rFonts w:ascii="Calibri" w:eastAsia="Calibri" w:hAnsi="Calibri" w:cs="Calibri"/>
                              <w:noProof/>
                              <w:color w:val="000000"/>
                              <w:sz w:val="20"/>
                              <w:szCs w:val="20"/>
                            </w:rPr>
                          </w:pPr>
                          <w:r w:rsidRPr="00D77B4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546E4F"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" filled="f" stroked="f">
              <v:textbox style="mso-fit-shape-to-text:t" inset="0,0,20pt,15pt">
                <w:txbxContent>
                  <w:p w14:paraId="16530D27" w14:textId="0B2C4027" w:rsidR="00D77B45" w:rsidRPr="00D77B45" w:rsidRDefault="00D77B45" w:rsidP="00D77B45">
                    <w:pPr>
                      <w:spacing w:after="0"/>
                      <w:rPr>
                        <w:rFonts w:ascii="Calibri" w:eastAsia="Calibri" w:hAnsi="Calibri" w:cs="Calibri"/>
                        <w:noProof/>
                        <w:color w:val="000000"/>
                        <w:sz w:val="20"/>
                        <w:szCs w:val="20"/>
                      </w:rPr>
                    </w:pPr>
                    <w:r w:rsidRPr="00D77B4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6334" w14:textId="2142C365" w:rsidR="008E7E59" w:rsidRPr="009943CF" w:rsidRDefault="00D77B45">
    <w:pPr>
      <w:pStyle w:val="Footer"/>
      <w:jc w:val="right"/>
      <w:rPr>
        <w:rFonts w:ascii="Times New Roman" w:hAnsi="Times New Roman" w:cs="Times New Roman"/>
        <w:sz w:val="22"/>
        <w:szCs w:val="22"/>
      </w:rPr>
    </w:pPr>
    <w:r>
      <w:rPr>
        <w:noProof/>
        <w14:ligatures w14:val="none"/>
      </w:rPr>
      <mc:AlternateContent>
        <mc:Choice Requires="wps">
          <w:drawing>
            <wp:anchor distT="0" distB="0" distL="0" distR="0" simplePos="0" relativeHeight="251660288" behindDoc="0" locked="0" layoutInCell="1" allowOverlap="1" wp14:anchorId="2FD0E4B8" wp14:editId="27E58374">
              <wp:simplePos x="914400" y="9258300"/>
              <wp:positionH relativeFrom="page">
                <wp:align>right</wp:align>
              </wp:positionH>
              <wp:positionV relativeFrom="page">
                <wp:align>bottom</wp:align>
              </wp:positionV>
              <wp:extent cx="1102995" cy="370205"/>
              <wp:effectExtent l="0" t="0" r="0" b="0"/>
              <wp:wrapNone/>
              <wp:docPr id="101179298"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5C5AA0C" w14:textId="5B1957F0" w:rsidR="00D77B45" w:rsidRPr="00D77B45" w:rsidRDefault="00D77B45" w:rsidP="00D77B45">
                          <w:pPr>
                            <w:spacing w:after="0"/>
                            <w:rPr>
                              <w:rFonts w:ascii="Calibri" w:eastAsia="Calibri" w:hAnsi="Calibri" w:cs="Calibri"/>
                              <w:noProof/>
                              <w:color w:val="000000"/>
                              <w:sz w:val="20"/>
                              <w:szCs w:val="20"/>
                            </w:rPr>
                          </w:pPr>
                          <w:r w:rsidRPr="00D77B4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D0E4B8"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" filled="f" stroked="f">
              <v:textbox style="mso-fit-shape-to-text:t" inset="0,0,20pt,15pt">
                <w:txbxContent>
                  <w:p w14:paraId="15C5AA0C" w14:textId="5B1957F0" w:rsidR="00D77B45" w:rsidRPr="00D77B45" w:rsidRDefault="00D77B45" w:rsidP="00D77B45">
                    <w:pPr>
                      <w:spacing w:after="0"/>
                      <w:rPr>
                        <w:rFonts w:ascii="Calibri" w:eastAsia="Calibri" w:hAnsi="Calibri" w:cs="Calibri"/>
                        <w:noProof/>
                        <w:color w:val="000000"/>
                        <w:sz w:val="20"/>
                        <w:szCs w:val="20"/>
                      </w:rPr>
                    </w:pPr>
                    <w:r w:rsidRPr="00D77B45">
                      <w:rPr>
                        <w:rFonts w:ascii="Calibri" w:eastAsia="Calibri" w:hAnsi="Calibri" w:cs="Calibri"/>
                        <w:noProof/>
                        <w:color w:val="000000"/>
                        <w:sz w:val="20"/>
                        <w:szCs w:val="20"/>
                      </w:rPr>
                      <w:t>Official Use Only</w:t>
                    </w:r>
                  </w:p>
                </w:txbxContent>
              </v:textbox>
              <w10:wrap anchorx="page" anchory="page"/>
            </v:shape>
          </w:pict>
        </mc:Fallback>
      </mc:AlternateContent>
    </w:r>
    <w:sdt>
      <w:sdtPr>
        <w:id w:val="1486354279"/>
        <w:docPartObj>
          <w:docPartGallery w:val="Page Numbers (Bottom of Page)"/>
          <w:docPartUnique/>
        </w:docPartObj>
      </w:sdtPr>
      <w:sdtEndPr>
        <w:rPr>
          <w:rFonts w:ascii="Times New Roman" w:hAnsi="Times New Roman" w:cs="Times New Roman"/>
          <w:noProof/>
          <w:sz w:val="22"/>
          <w:szCs w:val="22"/>
        </w:rPr>
      </w:sdtEndPr>
      <w:sdtContent>
        <w:r w:rsidR="00837974" w:rsidRPr="009943CF">
          <w:rPr>
            <w:rFonts w:ascii="Times New Roman" w:hAnsi="Times New Roman" w:cs="Times New Roman"/>
            <w:sz w:val="22"/>
            <w:szCs w:val="22"/>
          </w:rPr>
          <w:fldChar w:fldCharType="begin"/>
        </w:r>
        <w:r w:rsidR="00837974" w:rsidRPr="009943CF">
          <w:rPr>
            <w:rFonts w:ascii="Times New Roman" w:hAnsi="Times New Roman" w:cs="Times New Roman"/>
            <w:sz w:val="22"/>
            <w:szCs w:val="22"/>
          </w:rPr>
          <w:instrText xml:space="preserve"> PAGE   \* MERGEFORMAT </w:instrText>
        </w:r>
        <w:r w:rsidR="00837974" w:rsidRPr="009943CF">
          <w:rPr>
            <w:rFonts w:ascii="Times New Roman" w:hAnsi="Times New Roman" w:cs="Times New Roman"/>
            <w:sz w:val="22"/>
            <w:szCs w:val="22"/>
          </w:rPr>
          <w:fldChar w:fldCharType="separate"/>
        </w:r>
        <w:r w:rsidR="00262CC2">
          <w:rPr>
            <w:rFonts w:ascii="Times New Roman" w:hAnsi="Times New Roman" w:cs="Times New Roman"/>
            <w:noProof/>
            <w:sz w:val="22"/>
            <w:szCs w:val="22"/>
          </w:rPr>
          <w:t>1</w:t>
        </w:r>
        <w:r w:rsidR="00837974" w:rsidRPr="009943CF">
          <w:rPr>
            <w:rFonts w:ascii="Times New Roman" w:hAnsi="Times New Roman" w:cs="Times New Roman"/>
            <w:noProof/>
            <w:sz w:val="22"/>
            <w:szCs w:val="22"/>
          </w:rPr>
          <w:fldChar w:fldCharType="end"/>
        </w:r>
      </w:sdtContent>
    </w:sdt>
  </w:p>
  <w:p w14:paraId="2D1FB2BC" w14:textId="77777777" w:rsidR="008E7E59" w:rsidRDefault="008E7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2671" w14:textId="5142A108" w:rsidR="00D77B45" w:rsidRDefault="00D77B45">
    <w:pPr>
      <w:pStyle w:val="Footer"/>
    </w:pPr>
    <w:r>
      <w:rPr>
        <w:noProof/>
        <w14:ligatures w14:val="none"/>
      </w:rPr>
      <mc:AlternateContent>
        <mc:Choice Requires="wps">
          <w:drawing>
            <wp:anchor distT="0" distB="0" distL="0" distR="0" simplePos="0" relativeHeight="251658240" behindDoc="0" locked="0" layoutInCell="1" allowOverlap="1" wp14:anchorId="042898BC" wp14:editId="6154388B">
              <wp:simplePos x="635" y="635"/>
              <wp:positionH relativeFrom="page">
                <wp:align>right</wp:align>
              </wp:positionH>
              <wp:positionV relativeFrom="page">
                <wp:align>bottom</wp:align>
              </wp:positionV>
              <wp:extent cx="1102995" cy="370205"/>
              <wp:effectExtent l="0" t="0" r="0" b="0"/>
              <wp:wrapNone/>
              <wp:docPr id="679059417"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6A0CCE3" w14:textId="01E0DE6F" w:rsidR="00D77B45" w:rsidRPr="00D77B45" w:rsidRDefault="00D77B45" w:rsidP="00D77B45">
                          <w:pPr>
                            <w:spacing w:after="0"/>
                            <w:rPr>
                              <w:rFonts w:ascii="Calibri" w:eastAsia="Calibri" w:hAnsi="Calibri" w:cs="Calibri"/>
                              <w:noProof/>
                              <w:color w:val="000000"/>
                              <w:sz w:val="20"/>
                              <w:szCs w:val="20"/>
                            </w:rPr>
                          </w:pPr>
                          <w:r w:rsidRPr="00D77B4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2898BC"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" filled="f" stroked="f">
              <v:textbox style="mso-fit-shape-to-text:t" inset="0,0,20pt,15pt">
                <w:txbxContent>
                  <w:p w14:paraId="26A0CCE3" w14:textId="01E0DE6F" w:rsidR="00D77B45" w:rsidRPr="00D77B45" w:rsidRDefault="00D77B45" w:rsidP="00D77B45">
                    <w:pPr>
                      <w:spacing w:after="0"/>
                      <w:rPr>
                        <w:rFonts w:ascii="Calibri" w:eastAsia="Calibri" w:hAnsi="Calibri" w:cs="Calibri"/>
                        <w:noProof/>
                        <w:color w:val="000000"/>
                        <w:sz w:val="20"/>
                        <w:szCs w:val="20"/>
                      </w:rPr>
                    </w:pPr>
                    <w:r w:rsidRPr="00D77B4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6727" w14:textId="77777777" w:rsidR="008B3569" w:rsidRDefault="008B3569">
      <w:pPr>
        <w:spacing w:after="0" w:line="240" w:lineRule="auto"/>
      </w:pPr>
      <w:r>
        <w:separator/>
      </w:r>
    </w:p>
  </w:footnote>
  <w:footnote w:type="continuationSeparator" w:id="0">
    <w:p w14:paraId="121C3973" w14:textId="77777777" w:rsidR="008B3569" w:rsidRDefault="008B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B26B9"/>
    <w:multiLevelType w:val="hybridMultilevel"/>
    <w:tmpl w:val="62388A5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642CA9"/>
    <w:multiLevelType w:val="hybridMultilevel"/>
    <w:tmpl w:val="E60E6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32B"/>
    <w:multiLevelType w:val="hybridMultilevel"/>
    <w:tmpl w:val="3C54B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7B5E82"/>
    <w:multiLevelType w:val="hybridMultilevel"/>
    <w:tmpl w:val="156C5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EF6E2C"/>
    <w:multiLevelType w:val="hybridMultilevel"/>
    <w:tmpl w:val="69A8ACBC"/>
    <w:lvl w:ilvl="0" w:tplc="32B81D6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8218D"/>
    <w:multiLevelType w:val="hybridMultilevel"/>
    <w:tmpl w:val="B05C2FB8"/>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16DC8"/>
    <w:multiLevelType w:val="multilevel"/>
    <w:tmpl w:val="D22452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F1C2C3C"/>
    <w:multiLevelType w:val="hybridMultilevel"/>
    <w:tmpl w:val="376C7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D289D"/>
    <w:multiLevelType w:val="multilevel"/>
    <w:tmpl w:val="8B781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AB91C97"/>
    <w:multiLevelType w:val="multilevel"/>
    <w:tmpl w:val="EC82F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42C0874"/>
    <w:multiLevelType w:val="multilevel"/>
    <w:tmpl w:val="D2245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98236E3"/>
    <w:multiLevelType w:val="multilevel"/>
    <w:tmpl w:val="E2BCF0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BC51258"/>
    <w:multiLevelType w:val="hybridMultilevel"/>
    <w:tmpl w:val="82348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6"/>
  </w:num>
  <w:num w:numId="5">
    <w:abstractNumId w:val="12"/>
  </w:num>
  <w:num w:numId="6">
    <w:abstractNumId w:val="4"/>
  </w:num>
  <w:num w:numId="7">
    <w:abstractNumId w:val="10"/>
  </w:num>
  <w:num w:numId="8">
    <w:abstractNumId w:val="0"/>
  </w:num>
  <w:num w:numId="9">
    <w:abstractNumId w:val="5"/>
  </w:num>
  <w:num w:numId="10">
    <w:abstractNumId w:val="2"/>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16"/>
    <w:rsid w:val="000704D8"/>
    <w:rsid w:val="000D45AD"/>
    <w:rsid w:val="000F0158"/>
    <w:rsid w:val="00110354"/>
    <w:rsid w:val="002320F9"/>
    <w:rsid w:val="00262CC2"/>
    <w:rsid w:val="00431274"/>
    <w:rsid w:val="00462832"/>
    <w:rsid w:val="004651B6"/>
    <w:rsid w:val="004A3BC0"/>
    <w:rsid w:val="004D584C"/>
    <w:rsid w:val="005012A9"/>
    <w:rsid w:val="00605CCA"/>
    <w:rsid w:val="0062407D"/>
    <w:rsid w:val="007363E5"/>
    <w:rsid w:val="00837974"/>
    <w:rsid w:val="0086068B"/>
    <w:rsid w:val="0088201E"/>
    <w:rsid w:val="008B3569"/>
    <w:rsid w:val="008E7E59"/>
    <w:rsid w:val="009861CF"/>
    <w:rsid w:val="00A23079"/>
    <w:rsid w:val="00AB047F"/>
    <w:rsid w:val="00AF220A"/>
    <w:rsid w:val="00B86416"/>
    <w:rsid w:val="00BE3B08"/>
    <w:rsid w:val="00D77B45"/>
    <w:rsid w:val="00DB3884"/>
    <w:rsid w:val="00DC2809"/>
    <w:rsid w:val="00DE7ACE"/>
    <w:rsid w:val="00EC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2809"/>
  <w15:chartTrackingRefBased/>
  <w15:docId w15:val="{C01B920C-22E3-42E4-A959-4B21313F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16"/>
    <w:pPr>
      <w:spacing w:line="278" w:lineRule="auto"/>
    </w:pPr>
    <w:rPr>
      <w:kern w:val="2"/>
      <w:sz w:val="24"/>
      <w:szCs w:val="24"/>
      <w14:ligatures w14:val="standardContextual"/>
    </w:rPr>
  </w:style>
  <w:style w:type="paragraph" w:styleId="Heading4">
    <w:name w:val="heading 4"/>
    <w:basedOn w:val="Normal"/>
    <w:next w:val="Normal"/>
    <w:link w:val="Heading4Char"/>
    <w:uiPriority w:val="9"/>
    <w:unhideWhenUsed/>
    <w:qFormat/>
    <w:rsid w:val="00B86416"/>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6416"/>
    <w:rPr>
      <w:rFonts w:eastAsiaTheme="majorEastAsia" w:cstheme="majorBidi"/>
      <w:i/>
      <w:iCs/>
      <w:color w:val="2F5496" w:themeColor="accent1" w:themeShade="BF"/>
      <w:kern w:val="2"/>
      <w:sz w:val="24"/>
      <w:szCs w:val="24"/>
      <w14:ligatures w14:val="standardContextual"/>
    </w:rPr>
  </w:style>
  <w:style w:type="paragraph" w:styleId="ListParagraph">
    <w:name w:val="List Paragraph"/>
    <w:basedOn w:val="Normal"/>
    <w:uiPriority w:val="34"/>
    <w:qFormat/>
    <w:rsid w:val="00B86416"/>
    <w:pPr>
      <w:ind w:left="720"/>
      <w:contextualSpacing/>
    </w:pPr>
  </w:style>
  <w:style w:type="paragraph" w:styleId="NormalWeb">
    <w:name w:val="Normal (Web)"/>
    <w:basedOn w:val="Normal"/>
    <w:uiPriority w:val="99"/>
    <w:unhideWhenUsed/>
    <w:rsid w:val="00B86416"/>
    <w:pPr>
      <w:spacing w:before="100" w:beforeAutospacing="1" w:after="100" w:afterAutospacing="1" w:line="240" w:lineRule="auto"/>
    </w:pPr>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B86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16"/>
    <w:rPr>
      <w:kern w:val="2"/>
      <w:sz w:val="24"/>
      <w:szCs w:val="24"/>
      <w14:ligatures w14:val="standardContextual"/>
    </w:rPr>
  </w:style>
  <w:style w:type="table" w:customStyle="1" w:styleId="TableGrid1">
    <w:name w:val="Table Grid1"/>
    <w:basedOn w:val="TableNormal"/>
    <w:next w:val="TableGrid"/>
    <w:uiPriority w:val="39"/>
    <w:rsid w:val="00B864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274"/>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0704D8"/>
    <w:rPr>
      <w:sz w:val="16"/>
      <w:szCs w:val="16"/>
    </w:rPr>
  </w:style>
  <w:style w:type="paragraph" w:styleId="CommentText">
    <w:name w:val="annotation text"/>
    <w:basedOn w:val="Normal"/>
    <w:link w:val="CommentTextChar"/>
    <w:uiPriority w:val="99"/>
    <w:unhideWhenUsed/>
    <w:rsid w:val="000704D8"/>
    <w:pPr>
      <w:spacing w:line="240" w:lineRule="auto"/>
    </w:pPr>
    <w:rPr>
      <w:sz w:val="20"/>
      <w:szCs w:val="20"/>
    </w:rPr>
  </w:style>
  <w:style w:type="character" w:customStyle="1" w:styleId="CommentTextChar">
    <w:name w:val="Comment Text Char"/>
    <w:basedOn w:val="DefaultParagraphFont"/>
    <w:link w:val="CommentText"/>
    <w:uiPriority w:val="99"/>
    <w:rsid w:val="000704D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704D8"/>
    <w:rPr>
      <w:b/>
      <w:bCs/>
    </w:rPr>
  </w:style>
  <w:style w:type="character" w:customStyle="1" w:styleId="CommentSubjectChar">
    <w:name w:val="Comment Subject Char"/>
    <w:basedOn w:val="CommentTextChar"/>
    <w:link w:val="CommentSubject"/>
    <w:uiPriority w:val="99"/>
    <w:semiHidden/>
    <w:rsid w:val="000704D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Antonijević</dc:creator>
  <cp:keywords/>
  <dc:description/>
  <cp:lastModifiedBy>Ljiljana Krejović</cp:lastModifiedBy>
  <cp:revision>2</cp:revision>
  <dcterms:created xsi:type="dcterms:W3CDTF">2025-12-04T15:40:00Z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28799fd9,54ee5908,607dfa2</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2025-11-05T08:14:22Z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52ab60b9-0a06-4235-abe7-51dc451a826e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