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07C13" w14:textId="77777777" w:rsidR="009830E4" w:rsidRPr="00B21FC4" w:rsidRDefault="009830E4" w:rsidP="007E72D3">
      <w:pPr>
        <w:pStyle w:val="Heading1a"/>
        <w:keepNext w:val="0"/>
        <w:keepLines w:val="0"/>
        <w:tabs>
          <w:tab w:val="clear" w:pos="-720"/>
        </w:tabs>
        <w:suppressAutoHyphens w:val="0"/>
        <w:rPr>
          <w:bCs/>
          <w:smallCaps w:val="0"/>
          <w:sz w:val="26"/>
          <w:szCs w:val="26"/>
        </w:rPr>
      </w:pPr>
      <w:r w:rsidRPr="00B21FC4">
        <w:rPr>
          <w:bCs/>
          <w:smallCaps w:val="0"/>
          <w:sz w:val="26"/>
          <w:szCs w:val="26"/>
        </w:rPr>
        <w:t>REQUEST FOR EXPRESSIONS OF INTEREST</w:t>
      </w:r>
    </w:p>
    <w:p w14:paraId="3AC4A138" w14:textId="77777777" w:rsidR="009830E4" w:rsidRPr="00B21FC4" w:rsidRDefault="009830E4" w:rsidP="007E72D3">
      <w:pPr>
        <w:pStyle w:val="Heading1a"/>
        <w:keepNext w:val="0"/>
        <w:keepLines w:val="0"/>
        <w:tabs>
          <w:tab w:val="clear" w:pos="-720"/>
        </w:tabs>
        <w:suppressAutoHyphens w:val="0"/>
        <w:rPr>
          <w:bCs/>
          <w:smallCaps w:val="0"/>
          <w:sz w:val="26"/>
          <w:szCs w:val="26"/>
        </w:rPr>
      </w:pPr>
      <w:r w:rsidRPr="00B21FC4">
        <w:rPr>
          <w:bCs/>
          <w:smallCaps w:val="0"/>
          <w:sz w:val="26"/>
          <w:szCs w:val="26"/>
        </w:rPr>
        <w:t>(CONSULT</w:t>
      </w:r>
      <w:r w:rsidR="001D70EB" w:rsidRPr="00B21FC4">
        <w:rPr>
          <w:bCs/>
          <w:smallCaps w:val="0"/>
          <w:sz w:val="26"/>
          <w:szCs w:val="26"/>
        </w:rPr>
        <w:t>ING</w:t>
      </w:r>
      <w:r w:rsidRPr="00B21FC4">
        <w:rPr>
          <w:bCs/>
          <w:smallCaps w:val="0"/>
          <w:sz w:val="26"/>
          <w:szCs w:val="26"/>
        </w:rPr>
        <w:t xml:space="preserve"> SERVICES</w:t>
      </w:r>
      <w:r w:rsidR="00A05A45" w:rsidRPr="00B21FC4">
        <w:rPr>
          <w:bCs/>
          <w:smallCaps w:val="0"/>
          <w:sz w:val="26"/>
          <w:szCs w:val="26"/>
        </w:rPr>
        <w:t xml:space="preserve"> – FIRMS SELECTION</w:t>
      </w:r>
      <w:r w:rsidRPr="00B21FC4">
        <w:rPr>
          <w:bCs/>
          <w:smallCaps w:val="0"/>
          <w:sz w:val="26"/>
          <w:szCs w:val="26"/>
        </w:rPr>
        <w:t>)</w:t>
      </w:r>
    </w:p>
    <w:p w14:paraId="2469C3A7" w14:textId="77777777" w:rsidR="009830E4" w:rsidRPr="0037139E" w:rsidRDefault="009830E4" w:rsidP="007E72D3">
      <w:pPr>
        <w:suppressAutoHyphens/>
        <w:rPr>
          <w:rFonts w:ascii="Times New Roman" w:hAnsi="Times New Roman"/>
          <w:spacing w:val="-2"/>
          <w:szCs w:val="22"/>
        </w:rPr>
      </w:pPr>
    </w:p>
    <w:p w14:paraId="08839D23" w14:textId="77777777" w:rsidR="009830E4" w:rsidRPr="0037139E" w:rsidRDefault="009830E4" w:rsidP="007E72D3">
      <w:pPr>
        <w:pStyle w:val="ChapterNumber"/>
        <w:tabs>
          <w:tab w:val="clear" w:pos="-720"/>
        </w:tabs>
        <w:rPr>
          <w:rFonts w:ascii="Times New Roman" w:hAnsi="Times New Roman"/>
          <w:spacing w:val="-2"/>
          <w:szCs w:val="22"/>
        </w:rPr>
      </w:pPr>
    </w:p>
    <w:p w14:paraId="3C2FF56C" w14:textId="77777777" w:rsidR="00B21FC4" w:rsidRPr="00E62241" w:rsidRDefault="00B21FC4" w:rsidP="00B21FC4">
      <w:pPr>
        <w:suppressAutoHyphens/>
        <w:rPr>
          <w:rFonts w:ascii="Times New Roman" w:hAnsi="Times New Roman"/>
          <w:b/>
          <w:spacing w:val="-2"/>
          <w:sz w:val="24"/>
        </w:rPr>
      </w:pPr>
      <w:r w:rsidRPr="00E62241">
        <w:rPr>
          <w:rFonts w:ascii="Times New Roman" w:hAnsi="Times New Roman"/>
          <w:b/>
          <w:spacing w:val="-2"/>
          <w:sz w:val="24"/>
        </w:rPr>
        <w:t>Republic of Serbia</w:t>
      </w:r>
    </w:p>
    <w:p w14:paraId="16E7026F" w14:textId="77777777" w:rsidR="00B21FC4" w:rsidRPr="00E62241" w:rsidRDefault="00CB1558" w:rsidP="00B21FC4">
      <w:pPr>
        <w:suppressAutoHyphens/>
        <w:rPr>
          <w:rFonts w:ascii="Times New Roman" w:hAnsi="Times New Roman"/>
          <w:b/>
          <w:spacing w:val="-2"/>
          <w:sz w:val="24"/>
        </w:rPr>
      </w:pPr>
      <w:r w:rsidRPr="00CB1558">
        <w:rPr>
          <w:rFonts w:ascii="Times New Roman" w:hAnsi="Times New Roman"/>
          <w:b/>
          <w:spacing w:val="-2"/>
          <w:sz w:val="24"/>
        </w:rPr>
        <w:t xml:space="preserve">Enabling Digital Governance in Serbia </w:t>
      </w:r>
      <w:r w:rsidR="00B21FC4" w:rsidRPr="00674B08">
        <w:rPr>
          <w:rFonts w:ascii="Times New Roman" w:hAnsi="Times New Roman"/>
          <w:b/>
          <w:spacing w:val="-2"/>
          <w:sz w:val="24"/>
        </w:rPr>
        <w:t>(</w:t>
      </w:r>
      <w:proofErr w:type="spellStart"/>
      <w:r w:rsidR="00B21FC4" w:rsidRPr="00674B08">
        <w:rPr>
          <w:rFonts w:ascii="Times New Roman" w:hAnsi="Times New Roman"/>
          <w:b/>
          <w:spacing w:val="-2"/>
          <w:sz w:val="24"/>
        </w:rPr>
        <w:t>E</w:t>
      </w:r>
      <w:r>
        <w:rPr>
          <w:rFonts w:ascii="Times New Roman" w:hAnsi="Times New Roman"/>
          <w:b/>
          <w:spacing w:val="-2"/>
          <w:sz w:val="24"/>
        </w:rPr>
        <w:t>DGe</w:t>
      </w:r>
      <w:proofErr w:type="spellEnd"/>
      <w:r w:rsidR="00B21FC4" w:rsidRPr="00674B08">
        <w:rPr>
          <w:rFonts w:ascii="Times New Roman" w:hAnsi="Times New Roman"/>
          <w:b/>
          <w:spacing w:val="-2"/>
          <w:sz w:val="24"/>
        </w:rPr>
        <w:t>)</w:t>
      </w:r>
    </w:p>
    <w:p w14:paraId="375519C4" w14:textId="77777777" w:rsidR="00B21FC4" w:rsidRPr="00D65D0B" w:rsidRDefault="00B21FC4" w:rsidP="00B21FC4">
      <w:pPr>
        <w:pStyle w:val="BodyText"/>
        <w:rPr>
          <w:rFonts w:ascii="Times New Roman" w:hAnsi="Times New Roman"/>
          <w:b/>
        </w:rPr>
      </w:pPr>
      <w:r w:rsidRPr="00D65D0B">
        <w:rPr>
          <w:rFonts w:ascii="Times New Roman" w:hAnsi="Times New Roman"/>
          <w:b/>
        </w:rPr>
        <w:t>Project ID No. P1</w:t>
      </w:r>
      <w:r w:rsidR="00CB1558">
        <w:rPr>
          <w:rFonts w:ascii="Times New Roman" w:hAnsi="Times New Roman"/>
          <w:b/>
        </w:rPr>
        <w:t>64824</w:t>
      </w:r>
    </w:p>
    <w:p w14:paraId="56CA4BF1" w14:textId="77777777" w:rsidR="00B21FC4" w:rsidRDefault="00B21FC4" w:rsidP="00B21FC4">
      <w:pPr>
        <w:suppressAutoHyphens/>
        <w:spacing w:after="120"/>
        <w:rPr>
          <w:rFonts w:ascii="Times New Roman" w:hAnsi="Times New Roman"/>
          <w:b/>
          <w:smallCaps/>
          <w:spacing w:val="-2"/>
          <w:szCs w:val="22"/>
        </w:rPr>
      </w:pPr>
    </w:p>
    <w:p w14:paraId="4704DF9D" w14:textId="6D5CB67C" w:rsidR="00000720" w:rsidRPr="00000720" w:rsidRDefault="00EC50B8" w:rsidP="00000720">
      <w:pPr>
        <w:rPr>
          <w:rFonts w:ascii="Times New Roman" w:hAnsi="Times New Roman"/>
          <w:b/>
          <w:bCs/>
          <w:szCs w:val="22"/>
        </w:rPr>
      </w:pPr>
      <w:r w:rsidRPr="0037139E">
        <w:rPr>
          <w:rFonts w:ascii="Times New Roman" w:hAnsi="Times New Roman"/>
          <w:b/>
          <w:szCs w:val="22"/>
        </w:rPr>
        <w:t>Assignment Title</w:t>
      </w:r>
      <w:r w:rsidR="000C4041" w:rsidRPr="0037139E">
        <w:rPr>
          <w:rFonts w:ascii="Times New Roman" w:hAnsi="Times New Roman"/>
          <w:b/>
          <w:szCs w:val="22"/>
        </w:rPr>
        <w:t xml:space="preserve">: </w:t>
      </w:r>
      <w:r w:rsidR="00000720">
        <w:rPr>
          <w:rFonts w:ascii="Times New Roman" w:hAnsi="Times New Roman"/>
          <w:b/>
          <w:szCs w:val="22"/>
        </w:rPr>
        <w:t xml:space="preserve"> </w:t>
      </w:r>
      <w:r w:rsidR="0096010A" w:rsidRPr="0096010A">
        <w:rPr>
          <w:rFonts w:ascii="Times New Roman" w:hAnsi="Times New Roman"/>
          <w:b/>
          <w:szCs w:val="22"/>
        </w:rPr>
        <w:t>Technical Roadmap Development and Advisory Support for the Integration into Common European Data Spaces</w:t>
      </w:r>
    </w:p>
    <w:p w14:paraId="37CB5D93" w14:textId="3BF98B1A" w:rsidR="00186F7D" w:rsidRPr="0037139E" w:rsidRDefault="00B21FC4" w:rsidP="00000720">
      <w:pPr>
        <w:rPr>
          <w:rFonts w:ascii="Times New Roman" w:hAnsi="Times New Roman"/>
          <w:b/>
          <w:bCs/>
          <w:szCs w:val="22"/>
        </w:rPr>
      </w:pPr>
      <w:r>
        <w:rPr>
          <w:rFonts w:ascii="Times New Roman" w:hAnsi="Times New Roman"/>
          <w:b/>
          <w:bCs/>
          <w:szCs w:val="22"/>
        </w:rPr>
        <w:t>Reference No. SER-</w:t>
      </w:r>
      <w:r w:rsidR="00CB1558">
        <w:rPr>
          <w:rFonts w:ascii="Times New Roman" w:hAnsi="Times New Roman"/>
          <w:b/>
          <w:bCs/>
          <w:szCs w:val="22"/>
        </w:rPr>
        <w:t>EDGE</w:t>
      </w:r>
      <w:r>
        <w:rPr>
          <w:rFonts w:ascii="Times New Roman" w:hAnsi="Times New Roman"/>
          <w:b/>
          <w:bCs/>
          <w:szCs w:val="22"/>
        </w:rPr>
        <w:t>-</w:t>
      </w:r>
      <w:r w:rsidRPr="00B21FC4">
        <w:rPr>
          <w:rFonts w:ascii="Times New Roman" w:hAnsi="Times New Roman"/>
          <w:b/>
          <w:bCs/>
          <w:szCs w:val="22"/>
        </w:rPr>
        <w:t>C</w:t>
      </w:r>
      <w:r>
        <w:rPr>
          <w:rFonts w:ascii="Times New Roman" w:hAnsi="Times New Roman"/>
          <w:b/>
          <w:bCs/>
          <w:szCs w:val="22"/>
        </w:rPr>
        <w:t>Q</w:t>
      </w:r>
      <w:r w:rsidR="00000720">
        <w:rPr>
          <w:rFonts w:ascii="Times New Roman" w:hAnsi="Times New Roman"/>
          <w:b/>
          <w:bCs/>
          <w:szCs w:val="22"/>
        </w:rPr>
        <w:t>S</w:t>
      </w:r>
      <w:r w:rsidRPr="00B21FC4">
        <w:rPr>
          <w:rFonts w:ascii="Times New Roman" w:hAnsi="Times New Roman"/>
          <w:b/>
          <w:bCs/>
          <w:szCs w:val="22"/>
        </w:rPr>
        <w:t>-CS-</w:t>
      </w:r>
      <w:r w:rsidR="00000720">
        <w:rPr>
          <w:rFonts w:ascii="Times New Roman" w:hAnsi="Times New Roman"/>
          <w:b/>
          <w:bCs/>
          <w:szCs w:val="22"/>
        </w:rPr>
        <w:t>25</w:t>
      </w:r>
      <w:r w:rsidRPr="00B21FC4">
        <w:rPr>
          <w:rFonts w:ascii="Times New Roman" w:hAnsi="Times New Roman"/>
          <w:b/>
          <w:bCs/>
          <w:szCs w:val="22"/>
        </w:rPr>
        <w:t>-</w:t>
      </w:r>
      <w:r w:rsidR="00E87DC4">
        <w:rPr>
          <w:rFonts w:ascii="Times New Roman" w:hAnsi="Times New Roman"/>
          <w:b/>
          <w:bCs/>
          <w:szCs w:val="22"/>
        </w:rPr>
        <w:t>7</w:t>
      </w:r>
      <w:r w:rsidR="0096010A">
        <w:rPr>
          <w:rFonts w:ascii="Times New Roman" w:hAnsi="Times New Roman"/>
          <w:b/>
          <w:bCs/>
          <w:szCs w:val="22"/>
        </w:rPr>
        <w:t>8</w:t>
      </w:r>
    </w:p>
    <w:p w14:paraId="0FD19424" w14:textId="77777777" w:rsidR="009830E4" w:rsidRPr="0037139E" w:rsidRDefault="009830E4" w:rsidP="007E72D3">
      <w:pPr>
        <w:suppressAutoHyphens/>
        <w:rPr>
          <w:rFonts w:ascii="Times New Roman" w:hAnsi="Times New Roman"/>
          <w:spacing w:val="-2"/>
          <w:szCs w:val="22"/>
        </w:rPr>
      </w:pPr>
    </w:p>
    <w:p w14:paraId="762CE458" w14:textId="77777777" w:rsidR="00B21FC4" w:rsidRPr="00B21FC4" w:rsidRDefault="00B21FC4" w:rsidP="00B21FC4">
      <w:pPr>
        <w:spacing w:before="120" w:after="120"/>
        <w:jc w:val="both"/>
        <w:rPr>
          <w:rFonts w:ascii="Times New Roman" w:hAnsi="Times New Roman"/>
          <w:spacing w:val="-2"/>
          <w:szCs w:val="22"/>
        </w:rPr>
      </w:pPr>
      <w:r w:rsidRPr="00B21FC4">
        <w:rPr>
          <w:rFonts w:ascii="Times New Roman" w:hAnsi="Times New Roman"/>
          <w:spacing w:val="-2"/>
          <w:szCs w:val="22"/>
        </w:rPr>
        <w:t xml:space="preserve">The Republic of Serbia has received financing in the amount of US$ 50,000,000 equivalent from the World Bank toward the cost of the </w:t>
      </w:r>
      <w:r w:rsidR="00CB1558" w:rsidRPr="00CB1558">
        <w:rPr>
          <w:rFonts w:ascii="Times New Roman" w:hAnsi="Times New Roman"/>
          <w:spacing w:val="-2"/>
          <w:szCs w:val="22"/>
        </w:rPr>
        <w:t>Enabling Digital Governance Project (</w:t>
      </w:r>
      <w:proofErr w:type="spellStart"/>
      <w:r w:rsidR="00CB1558" w:rsidRPr="00CB1558">
        <w:rPr>
          <w:rFonts w:ascii="Times New Roman" w:hAnsi="Times New Roman"/>
          <w:spacing w:val="-2"/>
          <w:szCs w:val="22"/>
        </w:rPr>
        <w:t>EDGe</w:t>
      </w:r>
      <w:proofErr w:type="spellEnd"/>
      <w:r w:rsidR="00CB1558" w:rsidRPr="00CB1558">
        <w:rPr>
          <w:rFonts w:ascii="Times New Roman" w:hAnsi="Times New Roman"/>
          <w:spacing w:val="-2"/>
          <w:szCs w:val="22"/>
        </w:rPr>
        <w:t>)</w:t>
      </w:r>
      <w:r w:rsidRPr="00B21FC4">
        <w:rPr>
          <w:rFonts w:ascii="Times New Roman" w:hAnsi="Times New Roman"/>
          <w:spacing w:val="-2"/>
          <w:szCs w:val="22"/>
        </w:rPr>
        <w:t xml:space="preserve">, and intends to apply part of the proceeds for consulting services. </w:t>
      </w:r>
    </w:p>
    <w:p w14:paraId="796CCF33" w14:textId="33038182" w:rsidR="00CB1558" w:rsidRDefault="00813454" w:rsidP="00000720">
      <w:pPr>
        <w:spacing w:before="120" w:after="120"/>
        <w:jc w:val="both"/>
        <w:rPr>
          <w:rFonts w:ascii="Times New Roman" w:hAnsi="Times New Roman"/>
          <w:spacing w:val="-2"/>
          <w:szCs w:val="22"/>
        </w:rPr>
      </w:pPr>
      <w:r w:rsidRPr="00813454">
        <w:rPr>
          <w:rFonts w:ascii="Times New Roman" w:hAnsi="Times New Roman"/>
          <w:spacing w:val="-2"/>
          <w:szCs w:val="22"/>
        </w:rPr>
        <w:t>Digitalization is increasingly becoming the backbone of any and all functional restructuring in the public sector, an objective driver of change management and a precondition for transformative development. Going digital, being a horizontal measure, is also accelerating the attainment of Sustainable Development Goals (in further text: SDG). While it directly falls under SDG 16, e-Governance is contributing to building stronger institutions – effective, accountable and transparent – at all levels</w:t>
      </w:r>
      <w:r w:rsidR="00CB1558" w:rsidRPr="00CB1558">
        <w:rPr>
          <w:rFonts w:ascii="Times New Roman" w:hAnsi="Times New Roman"/>
          <w:spacing w:val="-2"/>
          <w:szCs w:val="22"/>
        </w:rPr>
        <w:t>.</w:t>
      </w:r>
      <w:r w:rsidR="00CB1558">
        <w:rPr>
          <w:rFonts w:ascii="Times New Roman" w:hAnsi="Times New Roman"/>
          <w:spacing w:val="-2"/>
          <w:szCs w:val="22"/>
        </w:rPr>
        <w:t xml:space="preserve"> </w:t>
      </w:r>
    </w:p>
    <w:p w14:paraId="248B39F9" w14:textId="2D838531" w:rsidR="00000720" w:rsidRPr="004B18F2" w:rsidRDefault="0096010A" w:rsidP="004B18F2">
      <w:pPr>
        <w:pStyle w:val="Bulit"/>
        <w:numPr>
          <w:ilvl w:val="0"/>
          <w:numId w:val="0"/>
        </w:numPr>
        <w:rPr>
          <w:rFonts w:eastAsia="Times New Roman" w:cstheme="majorBidi"/>
        </w:rPr>
      </w:pPr>
      <w:r w:rsidRPr="0096010A">
        <w:rPr>
          <w:rFonts w:eastAsia="Times New Roman" w:cs="Times New Roman"/>
          <w:bCs w:val="0"/>
          <w:spacing w:val="-2"/>
          <w:kern w:val="0"/>
          <w:szCs w:val="22"/>
          <w:bdr w:val="none" w:sz="0" w:space="0" w:color="auto"/>
          <w14:ligatures w14:val="none"/>
        </w:rPr>
        <w:t>The primary objective of this consulting project is to prepare Serbia’s citizen data platforms—primarily health data—for integration into the Common European Data Spaces, ensuring that data can be shared and accessed in a secure and trustworthy manner. This includes assessing the alignment of Serbia’s health data ecosystem, such as the Central Health Record (</w:t>
      </w:r>
      <w:proofErr w:type="spellStart"/>
      <w:r w:rsidRPr="0096010A">
        <w:rPr>
          <w:rFonts w:eastAsia="Times New Roman" w:cs="Times New Roman"/>
          <w:bCs w:val="0"/>
          <w:spacing w:val="-2"/>
          <w:kern w:val="0"/>
          <w:szCs w:val="22"/>
          <w:bdr w:val="none" w:sz="0" w:space="0" w:color="auto"/>
          <w14:ligatures w14:val="none"/>
        </w:rPr>
        <w:t>eKarton</w:t>
      </w:r>
      <w:proofErr w:type="spellEnd"/>
      <w:r w:rsidRPr="0096010A">
        <w:rPr>
          <w:rFonts w:eastAsia="Times New Roman" w:cs="Times New Roman"/>
          <w:bCs w:val="0"/>
          <w:spacing w:val="-2"/>
          <w:kern w:val="0"/>
          <w:szCs w:val="22"/>
          <w:bdr w:val="none" w:sz="0" w:space="0" w:color="auto"/>
          <w14:ligatures w14:val="none"/>
        </w:rPr>
        <w:t xml:space="preserve">) and </w:t>
      </w:r>
      <w:proofErr w:type="spellStart"/>
      <w:r w:rsidRPr="0096010A">
        <w:rPr>
          <w:rFonts w:eastAsia="Times New Roman" w:cs="Times New Roman"/>
          <w:bCs w:val="0"/>
          <w:spacing w:val="-2"/>
          <w:kern w:val="0"/>
          <w:szCs w:val="22"/>
          <w:bdr w:val="none" w:sz="0" w:space="0" w:color="auto"/>
          <w14:ligatures w14:val="none"/>
        </w:rPr>
        <w:t>ePrescription</w:t>
      </w:r>
      <w:proofErr w:type="spellEnd"/>
      <w:r w:rsidRPr="0096010A">
        <w:rPr>
          <w:rFonts w:eastAsia="Times New Roman" w:cs="Times New Roman"/>
          <w:bCs w:val="0"/>
          <w:spacing w:val="-2"/>
          <w:kern w:val="0"/>
          <w:szCs w:val="22"/>
          <w:bdr w:val="none" w:sz="0" w:space="0" w:color="auto"/>
          <w14:ligatures w14:val="none"/>
        </w:rPr>
        <w:t xml:space="preserve"> system, with EU interoperability standards for cross border health services and readiness for the eHealth Digital Service Infrastructure (</w:t>
      </w:r>
      <w:proofErr w:type="spellStart"/>
      <w:r w:rsidRPr="0096010A">
        <w:rPr>
          <w:rFonts w:eastAsia="Times New Roman" w:cs="Times New Roman"/>
          <w:bCs w:val="0"/>
          <w:spacing w:val="-2"/>
          <w:kern w:val="0"/>
          <w:szCs w:val="22"/>
          <w:bdr w:val="none" w:sz="0" w:space="0" w:color="auto"/>
          <w14:ligatures w14:val="none"/>
        </w:rPr>
        <w:t>eHDSI</w:t>
      </w:r>
      <w:proofErr w:type="spellEnd"/>
      <w:proofErr w:type="gramStart"/>
      <w:r w:rsidRPr="0096010A">
        <w:rPr>
          <w:rFonts w:eastAsia="Times New Roman" w:cs="Times New Roman"/>
          <w:bCs w:val="0"/>
          <w:spacing w:val="-2"/>
          <w:kern w:val="0"/>
          <w:szCs w:val="22"/>
          <w:bdr w:val="none" w:sz="0" w:space="0" w:color="auto"/>
          <w14:ligatures w14:val="none"/>
        </w:rPr>
        <w:t>).The</w:t>
      </w:r>
      <w:proofErr w:type="gramEnd"/>
      <w:r w:rsidRPr="0096010A">
        <w:rPr>
          <w:rFonts w:eastAsia="Times New Roman" w:cs="Times New Roman"/>
          <w:bCs w:val="0"/>
          <w:spacing w:val="-2"/>
          <w:kern w:val="0"/>
          <w:szCs w:val="22"/>
          <w:bdr w:val="none" w:sz="0" w:space="0" w:color="auto"/>
          <w14:ligatures w14:val="none"/>
        </w:rPr>
        <w:t xml:space="preserve"> project will also establish the foundation for Serbia’s participation in the European Open Science Cloud (EOSC), enabling the responsible secondary use of anonymized health data for research and innovation. By harmonizing national systems with EU standards, Serbia will be positioned to contribute to evidence based public health, support cross border research initiatives, and advance scientific collaboration across </w:t>
      </w:r>
      <w:proofErr w:type="spellStart"/>
      <w:r w:rsidRPr="0096010A">
        <w:rPr>
          <w:rFonts w:eastAsia="Times New Roman" w:cs="Times New Roman"/>
          <w:bCs w:val="0"/>
          <w:spacing w:val="-2"/>
          <w:kern w:val="0"/>
          <w:szCs w:val="22"/>
          <w:bdr w:val="none" w:sz="0" w:space="0" w:color="auto"/>
          <w14:ligatures w14:val="none"/>
        </w:rPr>
        <w:t>Europe</w:t>
      </w:r>
      <w:r w:rsidR="00E87DC4" w:rsidRPr="00E87DC4">
        <w:rPr>
          <w:spacing w:val="-2"/>
          <w:szCs w:val="22"/>
        </w:rPr>
        <w:t>The</w:t>
      </w:r>
      <w:proofErr w:type="spellEnd"/>
      <w:r w:rsidR="00E87DC4" w:rsidRPr="00E87DC4">
        <w:rPr>
          <w:spacing w:val="-2"/>
          <w:szCs w:val="22"/>
        </w:rPr>
        <w:t xml:space="preserve"> Consultant shall provide services under lump sum Contract paid upon acceptance of deliverables. </w:t>
      </w:r>
      <w:r w:rsidR="00813454" w:rsidRPr="00813454">
        <w:rPr>
          <w:spacing w:val="-2"/>
          <w:szCs w:val="22"/>
        </w:rPr>
        <w:t xml:space="preserve">The Consultant shall perform the Services over </w:t>
      </w:r>
      <w:r w:rsidR="00646973" w:rsidRPr="00646973">
        <w:rPr>
          <w:spacing w:val="-2"/>
          <w:szCs w:val="22"/>
        </w:rPr>
        <w:t>4 (four) months, approximately</w:t>
      </w:r>
      <w:r w:rsidR="00000720" w:rsidRPr="004B18F2">
        <w:rPr>
          <w:spacing w:val="-2"/>
          <w:szCs w:val="22"/>
        </w:rPr>
        <w:t>.</w:t>
      </w:r>
    </w:p>
    <w:p w14:paraId="5ECD7EAA" w14:textId="545FA56F" w:rsidR="00AD2E13" w:rsidRDefault="00AD2E13" w:rsidP="00F648FF">
      <w:pPr>
        <w:suppressAutoHyphens/>
        <w:spacing w:before="120" w:after="120"/>
        <w:jc w:val="both"/>
      </w:pPr>
      <w:r w:rsidRPr="00AD2E13">
        <w:rPr>
          <w:rFonts w:ascii="Times New Roman" w:hAnsi="Times New Roman"/>
          <w:spacing w:val="-2"/>
          <w:szCs w:val="22"/>
        </w:rPr>
        <w:t>The detailed Terms of Reference</w:t>
      </w:r>
      <w:r w:rsidR="00930962">
        <w:rPr>
          <w:rFonts w:ascii="Times New Roman" w:hAnsi="Times New Roman"/>
          <w:spacing w:val="-2"/>
          <w:szCs w:val="22"/>
        </w:rPr>
        <w:t xml:space="preserve"> (ToR)</w:t>
      </w:r>
      <w:r w:rsidRPr="00AD2E13">
        <w:rPr>
          <w:rFonts w:ascii="Times New Roman" w:hAnsi="Times New Roman"/>
          <w:spacing w:val="-2"/>
          <w:szCs w:val="22"/>
        </w:rPr>
        <w:t xml:space="preserve"> </w:t>
      </w:r>
      <w:r w:rsidR="00822D7D">
        <w:rPr>
          <w:rFonts w:ascii="Times New Roman" w:hAnsi="Times New Roman"/>
          <w:spacing w:val="-2"/>
          <w:szCs w:val="22"/>
        </w:rPr>
        <w:t>and Request for Expressions of Interest (</w:t>
      </w:r>
      <w:proofErr w:type="spellStart"/>
      <w:r w:rsidR="00822D7D">
        <w:rPr>
          <w:rFonts w:ascii="Times New Roman" w:hAnsi="Times New Roman"/>
          <w:spacing w:val="-2"/>
          <w:szCs w:val="22"/>
        </w:rPr>
        <w:t>REoI</w:t>
      </w:r>
      <w:proofErr w:type="spellEnd"/>
      <w:r w:rsidR="00822D7D">
        <w:rPr>
          <w:rFonts w:ascii="Times New Roman" w:hAnsi="Times New Roman"/>
          <w:spacing w:val="-2"/>
          <w:szCs w:val="22"/>
        </w:rPr>
        <w:t xml:space="preserve">) </w:t>
      </w:r>
      <w:r w:rsidRPr="00AD2E13">
        <w:rPr>
          <w:rFonts w:ascii="Times New Roman" w:hAnsi="Times New Roman"/>
          <w:spacing w:val="-2"/>
          <w:szCs w:val="22"/>
        </w:rPr>
        <w:t xml:space="preserve">for the above referenced consulting services </w:t>
      </w:r>
      <w:r w:rsidR="00822D7D">
        <w:rPr>
          <w:rFonts w:ascii="Times New Roman" w:hAnsi="Times New Roman"/>
          <w:spacing w:val="-2"/>
          <w:szCs w:val="22"/>
        </w:rPr>
        <w:t>are</w:t>
      </w:r>
      <w:r w:rsidRPr="00AD2E13">
        <w:rPr>
          <w:rFonts w:ascii="Times New Roman" w:hAnsi="Times New Roman"/>
          <w:spacing w:val="-2"/>
          <w:szCs w:val="22"/>
        </w:rPr>
        <w:t xml:space="preserve"> posted on the website of the </w:t>
      </w:r>
      <w:r w:rsidR="007A40C5">
        <w:rPr>
          <w:rFonts w:ascii="Times New Roman" w:hAnsi="Times New Roman"/>
          <w:spacing w:val="-2"/>
          <w:szCs w:val="22"/>
        </w:rPr>
        <w:t>OITeG</w:t>
      </w:r>
      <w:r w:rsidRPr="00AD2E13">
        <w:rPr>
          <w:rFonts w:ascii="Times New Roman" w:hAnsi="Times New Roman"/>
          <w:spacing w:val="-2"/>
          <w:szCs w:val="22"/>
        </w:rPr>
        <w:t xml:space="preserve"> at </w:t>
      </w:r>
      <w:r w:rsidR="00894E8C" w:rsidRPr="00894E8C">
        <w:t>https://www.ite.gov.rs/tekst/en/312/edge.php</w:t>
      </w:r>
    </w:p>
    <w:p w14:paraId="0C812451" w14:textId="77777777" w:rsidR="007E72D3" w:rsidRDefault="009830E4" w:rsidP="00F648FF">
      <w:pPr>
        <w:suppressAutoHyphens/>
        <w:spacing w:before="120" w:after="120"/>
        <w:jc w:val="both"/>
        <w:rPr>
          <w:rFonts w:ascii="Times New Roman" w:hAnsi="Times New Roman"/>
          <w:spacing w:val="-2"/>
          <w:szCs w:val="22"/>
        </w:rPr>
      </w:pPr>
      <w:r w:rsidRPr="0037139E">
        <w:rPr>
          <w:rFonts w:ascii="Times New Roman" w:hAnsi="Times New Roman"/>
          <w:spacing w:val="-2"/>
          <w:szCs w:val="22"/>
        </w:rPr>
        <w:t xml:space="preserve">The </w:t>
      </w:r>
      <w:r w:rsidR="00CE0D2A">
        <w:rPr>
          <w:rFonts w:ascii="Times New Roman" w:hAnsi="Times New Roman"/>
          <w:spacing w:val="-2"/>
          <w:szCs w:val="22"/>
        </w:rPr>
        <w:t xml:space="preserve">Central Fiduciary Unit (CFU) of the </w:t>
      </w:r>
      <w:r w:rsidR="00332518" w:rsidRPr="0037139E">
        <w:rPr>
          <w:rFonts w:ascii="Times New Roman" w:hAnsi="Times New Roman"/>
          <w:spacing w:val="-2"/>
          <w:szCs w:val="22"/>
        </w:rPr>
        <w:t xml:space="preserve">Ministry of Finance </w:t>
      </w:r>
      <w:r w:rsidR="001D70EB" w:rsidRPr="0037139E">
        <w:rPr>
          <w:rFonts w:ascii="Times New Roman" w:hAnsi="Times New Roman"/>
          <w:spacing w:val="-2"/>
          <w:szCs w:val="22"/>
        </w:rPr>
        <w:t>now invites eligible consulting firms</w:t>
      </w:r>
      <w:r w:rsidRPr="0037139E">
        <w:rPr>
          <w:rFonts w:ascii="Times New Roman" w:hAnsi="Times New Roman"/>
          <w:spacing w:val="-2"/>
          <w:szCs w:val="22"/>
        </w:rPr>
        <w:t xml:space="preserve"> </w:t>
      </w:r>
      <w:r w:rsidR="001D70EB" w:rsidRPr="0037139E">
        <w:rPr>
          <w:rFonts w:ascii="Times New Roman" w:hAnsi="Times New Roman"/>
          <w:spacing w:val="-2"/>
          <w:szCs w:val="22"/>
        </w:rPr>
        <w:t xml:space="preserve">(“Consultants”) </w:t>
      </w:r>
      <w:r w:rsidRPr="0037139E">
        <w:rPr>
          <w:rFonts w:ascii="Times New Roman" w:hAnsi="Times New Roman"/>
          <w:spacing w:val="-2"/>
          <w:szCs w:val="22"/>
        </w:rPr>
        <w:t xml:space="preserve">to indicate their interest in providing the </w:t>
      </w:r>
      <w:r w:rsidR="006D6898" w:rsidRPr="0037139E">
        <w:rPr>
          <w:rFonts w:ascii="Times New Roman" w:hAnsi="Times New Roman"/>
          <w:spacing w:val="-2"/>
          <w:szCs w:val="22"/>
        </w:rPr>
        <w:t>S</w:t>
      </w:r>
      <w:r w:rsidRPr="0037139E">
        <w:rPr>
          <w:rFonts w:ascii="Times New Roman" w:hAnsi="Times New Roman"/>
          <w:spacing w:val="-2"/>
          <w:szCs w:val="22"/>
        </w:rPr>
        <w:t xml:space="preserve">ervices. Interested </w:t>
      </w:r>
      <w:r w:rsidR="001D70EB" w:rsidRPr="0037139E">
        <w:rPr>
          <w:rFonts w:ascii="Times New Roman" w:hAnsi="Times New Roman"/>
          <w:spacing w:val="-2"/>
          <w:szCs w:val="22"/>
        </w:rPr>
        <w:t>C</w:t>
      </w:r>
      <w:r w:rsidRPr="0037139E">
        <w:rPr>
          <w:rFonts w:ascii="Times New Roman" w:hAnsi="Times New Roman"/>
          <w:spacing w:val="-2"/>
          <w:szCs w:val="22"/>
        </w:rPr>
        <w:t xml:space="preserve">onsultants </w:t>
      </w:r>
      <w:r w:rsidR="00E07E32" w:rsidRPr="0037139E">
        <w:rPr>
          <w:rFonts w:ascii="Times New Roman" w:hAnsi="Times New Roman"/>
          <w:spacing w:val="-2"/>
          <w:szCs w:val="22"/>
        </w:rPr>
        <w:t>should</w:t>
      </w:r>
      <w:r w:rsidRPr="0037139E">
        <w:rPr>
          <w:rFonts w:ascii="Times New Roman" w:hAnsi="Times New Roman"/>
          <w:spacing w:val="-2"/>
          <w:szCs w:val="22"/>
        </w:rPr>
        <w:t xml:space="preserve"> provide information </w:t>
      </w:r>
      <w:r w:rsidR="006D6898" w:rsidRPr="0037139E">
        <w:rPr>
          <w:rFonts w:ascii="Times New Roman" w:hAnsi="Times New Roman"/>
          <w:spacing w:val="-2"/>
          <w:szCs w:val="22"/>
        </w:rPr>
        <w:t xml:space="preserve">demonstrating </w:t>
      </w:r>
      <w:r w:rsidRPr="0037139E">
        <w:rPr>
          <w:rFonts w:ascii="Times New Roman" w:hAnsi="Times New Roman"/>
          <w:spacing w:val="-2"/>
          <w:szCs w:val="22"/>
        </w:rPr>
        <w:t xml:space="preserve">that they </w:t>
      </w:r>
      <w:r w:rsidR="00E07E32" w:rsidRPr="0037139E">
        <w:rPr>
          <w:rFonts w:ascii="Times New Roman" w:hAnsi="Times New Roman"/>
          <w:spacing w:val="-2"/>
          <w:szCs w:val="22"/>
        </w:rPr>
        <w:t xml:space="preserve">have the required qualifications and </w:t>
      </w:r>
      <w:r w:rsidR="00916E24" w:rsidRPr="0037139E">
        <w:rPr>
          <w:rFonts w:ascii="Times New Roman" w:hAnsi="Times New Roman"/>
          <w:spacing w:val="-2"/>
          <w:szCs w:val="22"/>
        </w:rPr>
        <w:t xml:space="preserve">relevant </w:t>
      </w:r>
      <w:r w:rsidR="00E07E32" w:rsidRPr="0037139E">
        <w:rPr>
          <w:rFonts w:ascii="Times New Roman" w:hAnsi="Times New Roman"/>
          <w:spacing w:val="-2"/>
          <w:szCs w:val="22"/>
        </w:rPr>
        <w:t>experience</w:t>
      </w:r>
      <w:r w:rsidRPr="0037139E">
        <w:rPr>
          <w:rFonts w:ascii="Times New Roman" w:hAnsi="Times New Roman"/>
          <w:spacing w:val="-2"/>
          <w:szCs w:val="22"/>
        </w:rPr>
        <w:t xml:space="preserve"> to perform the </w:t>
      </w:r>
      <w:r w:rsidR="006D6898" w:rsidRPr="0037139E">
        <w:rPr>
          <w:rFonts w:ascii="Times New Roman" w:hAnsi="Times New Roman"/>
          <w:spacing w:val="-2"/>
          <w:szCs w:val="22"/>
        </w:rPr>
        <w:t>S</w:t>
      </w:r>
      <w:r w:rsidRPr="0037139E">
        <w:rPr>
          <w:rFonts w:ascii="Times New Roman" w:hAnsi="Times New Roman"/>
          <w:spacing w:val="-2"/>
          <w:szCs w:val="22"/>
        </w:rPr>
        <w:t>ervices</w:t>
      </w:r>
      <w:r w:rsidR="000C4041" w:rsidRPr="0037139E">
        <w:rPr>
          <w:rFonts w:ascii="Times New Roman" w:hAnsi="Times New Roman"/>
          <w:spacing w:val="-2"/>
          <w:szCs w:val="22"/>
        </w:rPr>
        <w:t>.</w:t>
      </w:r>
      <w:r w:rsidRPr="0037139E">
        <w:rPr>
          <w:rFonts w:ascii="Times New Roman" w:hAnsi="Times New Roman"/>
          <w:spacing w:val="-2"/>
          <w:szCs w:val="22"/>
        </w:rPr>
        <w:t xml:space="preserve"> </w:t>
      </w:r>
    </w:p>
    <w:p w14:paraId="515AE1C2" w14:textId="77777777" w:rsidR="007D1C85" w:rsidRPr="0037139E" w:rsidRDefault="007D1C85" w:rsidP="007D1C85">
      <w:pPr>
        <w:suppressAutoHyphens/>
        <w:spacing w:before="120" w:after="120"/>
        <w:jc w:val="both"/>
        <w:rPr>
          <w:rFonts w:ascii="Times New Roman" w:hAnsi="Times New Roman"/>
          <w:spacing w:val="-2"/>
          <w:szCs w:val="22"/>
        </w:rPr>
      </w:pPr>
      <w:r w:rsidRPr="0037139E">
        <w:rPr>
          <w:rFonts w:ascii="Times New Roman" w:hAnsi="Times New Roman"/>
          <w:spacing w:val="-2"/>
          <w:szCs w:val="22"/>
        </w:rPr>
        <w:t xml:space="preserve">The short listing criteria are: </w:t>
      </w:r>
    </w:p>
    <w:tbl>
      <w:tblPr>
        <w:tblStyle w:val="TableGrid"/>
        <w:tblW w:w="10980" w:type="dxa"/>
        <w:tblInd w:w="108" w:type="dxa"/>
        <w:tblLook w:val="04A0" w:firstRow="1" w:lastRow="0" w:firstColumn="1" w:lastColumn="0" w:noHBand="0" w:noVBand="1"/>
      </w:tblPr>
      <w:tblGrid>
        <w:gridCol w:w="400"/>
        <w:gridCol w:w="9230"/>
        <w:gridCol w:w="1350"/>
      </w:tblGrid>
      <w:tr w:rsidR="007D1C85" w:rsidRPr="0037139E" w14:paraId="6FCA6345" w14:textId="77777777" w:rsidTr="003E56E4">
        <w:trPr>
          <w:trHeight w:val="276"/>
        </w:trPr>
        <w:tc>
          <w:tcPr>
            <w:tcW w:w="400" w:type="dxa"/>
            <w:vAlign w:val="center"/>
          </w:tcPr>
          <w:p w14:paraId="2693C15F" w14:textId="77777777" w:rsidR="007D1C85" w:rsidRPr="0037139E" w:rsidRDefault="007D1C85" w:rsidP="003E56E4">
            <w:pPr>
              <w:pStyle w:val="ListParagraph"/>
              <w:ind w:left="0"/>
              <w:jc w:val="center"/>
              <w:rPr>
                <w:rFonts w:ascii="Times New Roman" w:hAnsi="Times New Roman" w:cs="Times New Roman"/>
                <w:i/>
              </w:rPr>
            </w:pPr>
            <w:r w:rsidRPr="0037139E">
              <w:rPr>
                <w:rFonts w:ascii="Times New Roman" w:hAnsi="Times New Roman" w:cs="Times New Roman"/>
                <w:i/>
              </w:rPr>
              <w:t>#</w:t>
            </w:r>
          </w:p>
        </w:tc>
        <w:tc>
          <w:tcPr>
            <w:tcW w:w="9230" w:type="dxa"/>
            <w:vAlign w:val="center"/>
          </w:tcPr>
          <w:p w14:paraId="0D6E1096" w14:textId="77777777" w:rsidR="007D1C85" w:rsidRPr="007D1C85" w:rsidRDefault="007D1C85" w:rsidP="003E56E4">
            <w:pPr>
              <w:pStyle w:val="ListParagraph"/>
              <w:ind w:left="0"/>
              <w:jc w:val="center"/>
              <w:rPr>
                <w:rFonts w:ascii="Times New Roman" w:hAnsi="Times New Roman" w:cs="Times New Roman"/>
                <w:b/>
                <w:i/>
                <w:u w:val="single"/>
              </w:rPr>
            </w:pPr>
            <w:r w:rsidRPr="007D1C85">
              <w:rPr>
                <w:rFonts w:ascii="Times New Roman" w:hAnsi="Times New Roman" w:cs="Times New Roman"/>
                <w:i/>
              </w:rPr>
              <w:t>Criteria</w:t>
            </w:r>
          </w:p>
        </w:tc>
        <w:tc>
          <w:tcPr>
            <w:tcW w:w="1350" w:type="dxa"/>
            <w:vAlign w:val="center"/>
          </w:tcPr>
          <w:p w14:paraId="527F1160" w14:textId="77777777" w:rsidR="007D1C85" w:rsidRPr="007D1C85" w:rsidRDefault="007D1C85" w:rsidP="003E56E4">
            <w:pPr>
              <w:jc w:val="center"/>
              <w:rPr>
                <w:rFonts w:ascii="Times New Roman" w:hAnsi="Times New Roman" w:cs="Times New Roman"/>
                <w:i/>
              </w:rPr>
            </w:pPr>
            <w:r w:rsidRPr="007D1C85">
              <w:rPr>
                <w:rFonts w:ascii="Times New Roman" w:hAnsi="Times New Roman" w:cs="Times New Roman"/>
                <w:i/>
              </w:rPr>
              <w:t>Weight</w:t>
            </w:r>
          </w:p>
        </w:tc>
      </w:tr>
      <w:tr w:rsidR="007D1C85" w:rsidRPr="0037139E" w14:paraId="5574E484" w14:textId="77777777" w:rsidTr="003E56E4">
        <w:trPr>
          <w:trHeight w:val="413"/>
        </w:trPr>
        <w:tc>
          <w:tcPr>
            <w:tcW w:w="400" w:type="dxa"/>
            <w:vAlign w:val="center"/>
          </w:tcPr>
          <w:p w14:paraId="424F2E46" w14:textId="77777777" w:rsidR="007D1C85" w:rsidRPr="0037139E" w:rsidRDefault="007D1C85" w:rsidP="003E56E4">
            <w:pPr>
              <w:pStyle w:val="ListParagraph"/>
              <w:ind w:left="0"/>
              <w:jc w:val="center"/>
              <w:rPr>
                <w:rFonts w:ascii="Times New Roman" w:hAnsi="Times New Roman" w:cs="Times New Roman"/>
              </w:rPr>
            </w:pPr>
            <w:r w:rsidRPr="0037139E">
              <w:rPr>
                <w:rFonts w:ascii="Times New Roman" w:hAnsi="Times New Roman" w:cs="Times New Roman"/>
              </w:rPr>
              <w:t>1</w:t>
            </w:r>
          </w:p>
        </w:tc>
        <w:tc>
          <w:tcPr>
            <w:tcW w:w="9230" w:type="dxa"/>
            <w:vAlign w:val="center"/>
          </w:tcPr>
          <w:p w14:paraId="72AF15F5" w14:textId="2DB116D4" w:rsidR="007D1C85" w:rsidRPr="005377AC" w:rsidRDefault="007D1C85" w:rsidP="00905385">
            <w:pPr>
              <w:pStyle w:val="ListParagraph"/>
              <w:ind w:left="0"/>
              <w:jc w:val="left"/>
              <w:rPr>
                <w:rFonts w:ascii="Times New Roman" w:hAnsi="Times New Roman" w:cs="Times New Roman"/>
              </w:rPr>
            </w:pPr>
            <w:r w:rsidRPr="005377AC">
              <w:rPr>
                <w:rFonts w:ascii="Times New Roman" w:hAnsi="Times New Roman" w:cs="Times New Roman"/>
              </w:rPr>
              <w:t xml:space="preserve">General experience of the </w:t>
            </w:r>
            <w:r w:rsidR="00905385">
              <w:rPr>
                <w:rFonts w:ascii="Times New Roman" w:hAnsi="Times New Roman" w:cs="Times New Roman"/>
              </w:rPr>
              <w:t>firm</w:t>
            </w:r>
          </w:p>
        </w:tc>
        <w:tc>
          <w:tcPr>
            <w:tcW w:w="1350" w:type="dxa"/>
            <w:vAlign w:val="center"/>
          </w:tcPr>
          <w:p w14:paraId="41EA52BD" w14:textId="06D18229" w:rsidR="007D1C85" w:rsidRPr="005377AC" w:rsidRDefault="00905385" w:rsidP="003E56E4">
            <w:pPr>
              <w:jc w:val="center"/>
              <w:rPr>
                <w:rFonts w:ascii="Times New Roman" w:hAnsi="Times New Roman" w:cs="Times New Roman"/>
                <w:b/>
              </w:rPr>
            </w:pPr>
            <w:r>
              <w:rPr>
                <w:rFonts w:ascii="Times New Roman" w:hAnsi="Times New Roman" w:cs="Times New Roman"/>
                <w:b/>
              </w:rPr>
              <w:t>5</w:t>
            </w:r>
            <w:r w:rsidR="007D1C85" w:rsidRPr="005377AC">
              <w:rPr>
                <w:rFonts w:ascii="Times New Roman" w:hAnsi="Times New Roman" w:cs="Times New Roman"/>
                <w:b/>
              </w:rPr>
              <w:t>0</w:t>
            </w:r>
          </w:p>
        </w:tc>
      </w:tr>
      <w:tr w:rsidR="007D1C85" w:rsidRPr="0037139E" w14:paraId="4D35301A" w14:textId="77777777" w:rsidTr="003E56E4">
        <w:trPr>
          <w:trHeight w:val="620"/>
        </w:trPr>
        <w:tc>
          <w:tcPr>
            <w:tcW w:w="400" w:type="dxa"/>
            <w:vAlign w:val="center"/>
          </w:tcPr>
          <w:p w14:paraId="006F7D37" w14:textId="77777777" w:rsidR="007D1C85" w:rsidRPr="0037139E" w:rsidRDefault="007D1C85" w:rsidP="003E56E4">
            <w:pPr>
              <w:pStyle w:val="ListParagraph"/>
              <w:ind w:left="0"/>
              <w:jc w:val="center"/>
              <w:rPr>
                <w:rFonts w:ascii="Times New Roman" w:hAnsi="Times New Roman" w:cs="Times New Roman"/>
              </w:rPr>
            </w:pPr>
            <w:r w:rsidRPr="0037139E">
              <w:rPr>
                <w:rFonts w:ascii="Times New Roman" w:hAnsi="Times New Roman" w:cs="Times New Roman"/>
              </w:rPr>
              <w:t>2</w:t>
            </w:r>
          </w:p>
        </w:tc>
        <w:tc>
          <w:tcPr>
            <w:tcW w:w="9230" w:type="dxa"/>
            <w:vAlign w:val="center"/>
          </w:tcPr>
          <w:p w14:paraId="5023519D" w14:textId="39BB5729" w:rsidR="007D1C85" w:rsidRPr="005377AC" w:rsidRDefault="007D1C85" w:rsidP="00D26B12">
            <w:pPr>
              <w:pStyle w:val="ListParagraph"/>
              <w:ind w:left="0"/>
              <w:rPr>
                <w:rFonts w:ascii="Times New Roman" w:hAnsi="Times New Roman" w:cs="Times New Roman"/>
                <w:b/>
                <w:u w:val="single"/>
              </w:rPr>
            </w:pPr>
            <w:r w:rsidRPr="005377AC">
              <w:rPr>
                <w:rFonts w:ascii="Times New Roman" w:hAnsi="Times New Roman" w:cs="Times New Roman"/>
              </w:rPr>
              <w:t>Specific experience</w:t>
            </w:r>
            <w:r w:rsidR="00D26B12">
              <w:rPr>
                <w:rFonts w:ascii="Times New Roman" w:hAnsi="Times New Roman" w:cs="Times New Roman"/>
              </w:rPr>
              <w:t xml:space="preserve"> of the firm</w:t>
            </w:r>
            <w:r w:rsidRPr="005377AC">
              <w:rPr>
                <w:rFonts w:ascii="Times New Roman" w:hAnsi="Times New Roman" w:cs="Times New Roman"/>
              </w:rPr>
              <w:t xml:space="preserve"> rel</w:t>
            </w:r>
            <w:r w:rsidR="00D26B12">
              <w:rPr>
                <w:rFonts w:ascii="Times New Roman" w:hAnsi="Times New Roman" w:cs="Times New Roman"/>
              </w:rPr>
              <w:t>ated</w:t>
            </w:r>
            <w:r w:rsidRPr="005377AC">
              <w:rPr>
                <w:rFonts w:ascii="Times New Roman" w:hAnsi="Times New Roman" w:cs="Times New Roman"/>
              </w:rPr>
              <w:t xml:space="preserve"> to the assignment</w:t>
            </w:r>
          </w:p>
        </w:tc>
        <w:tc>
          <w:tcPr>
            <w:tcW w:w="1350" w:type="dxa"/>
            <w:vAlign w:val="center"/>
          </w:tcPr>
          <w:p w14:paraId="75FEDB6F" w14:textId="56EAEF21" w:rsidR="007D1C85" w:rsidRPr="005377AC" w:rsidRDefault="00905385" w:rsidP="003E56E4">
            <w:pPr>
              <w:pStyle w:val="ListParagraph"/>
              <w:ind w:left="0"/>
              <w:jc w:val="center"/>
              <w:rPr>
                <w:rFonts w:ascii="Times New Roman" w:hAnsi="Times New Roman" w:cs="Times New Roman"/>
                <w:b/>
              </w:rPr>
            </w:pPr>
            <w:r>
              <w:rPr>
                <w:rFonts w:ascii="Times New Roman" w:hAnsi="Times New Roman" w:cs="Times New Roman"/>
                <w:b/>
              </w:rPr>
              <w:t>5</w:t>
            </w:r>
            <w:r w:rsidR="007D1C85" w:rsidRPr="005377AC">
              <w:rPr>
                <w:rFonts w:ascii="Times New Roman" w:hAnsi="Times New Roman" w:cs="Times New Roman"/>
                <w:b/>
              </w:rPr>
              <w:t>0</w:t>
            </w:r>
          </w:p>
        </w:tc>
      </w:tr>
    </w:tbl>
    <w:p w14:paraId="1ED78243" w14:textId="010CD5B6" w:rsidR="00646973" w:rsidRPr="00646973" w:rsidRDefault="008F1B66" w:rsidP="00646973">
      <w:pPr>
        <w:pStyle w:val="Heading1"/>
        <w:tabs>
          <w:tab w:val="clear" w:pos="-720"/>
        </w:tabs>
        <w:suppressAutoHyphens w:val="0"/>
        <w:spacing w:before="360" w:after="80" w:line="259" w:lineRule="auto"/>
        <w:ind w:left="714" w:hanging="357"/>
        <w:jc w:val="both"/>
        <w:rPr>
          <w:rFonts w:cstheme="majorBidi"/>
          <w:bCs/>
          <w:smallCaps w:val="0"/>
          <w:kern w:val="2"/>
          <w:sz w:val="22"/>
          <w:szCs w:val="40"/>
          <w14:ligatures w14:val="standardContextual"/>
        </w:rPr>
      </w:pPr>
      <w:r>
        <w:rPr>
          <w:rFonts w:cstheme="majorBidi"/>
          <w:bCs/>
          <w:smallCaps w:val="0"/>
          <w:kern w:val="2"/>
          <w:sz w:val="22"/>
          <w:szCs w:val="40"/>
          <w14:ligatures w14:val="standardContextual"/>
        </w:rPr>
        <w:t xml:space="preserve">Consultant (Consulting Firm) </w:t>
      </w:r>
      <w:r w:rsidR="004B18F2">
        <w:rPr>
          <w:rFonts w:cstheme="majorBidi"/>
          <w:bCs/>
          <w:smallCaps w:val="0"/>
          <w:kern w:val="2"/>
          <w:sz w:val="22"/>
          <w:szCs w:val="40"/>
          <w14:ligatures w14:val="standardContextual"/>
        </w:rPr>
        <w:t>Qualifications:</w:t>
      </w:r>
    </w:p>
    <w:p w14:paraId="30B2C34E" w14:textId="77777777" w:rsidR="0096010A" w:rsidRPr="0096010A" w:rsidRDefault="0096010A" w:rsidP="0096010A">
      <w:pPr>
        <w:pStyle w:val="Bulit"/>
        <w:numPr>
          <w:ilvl w:val="0"/>
          <w:numId w:val="15"/>
        </w:numPr>
        <w:rPr>
          <w:rFonts w:eastAsia="Arial Unicode MS" w:cstheme="majorBidi"/>
        </w:rPr>
      </w:pPr>
      <w:r w:rsidRPr="0096010A">
        <w:rPr>
          <w:rFonts w:eastAsia="Arial Unicode MS" w:cstheme="majorBidi"/>
        </w:rPr>
        <w:t>The Consulting firm must have proven experience in implementing and maintaining data lineage frameworks that support secondary use of health data through harmonization, transformation, and minimization, and aligned with regulatory standards used in projects like DARWIN EU and FDA Best Practices.</w:t>
      </w:r>
    </w:p>
    <w:p w14:paraId="54FB5124" w14:textId="77777777" w:rsidR="0096010A" w:rsidRPr="0096010A" w:rsidRDefault="0096010A" w:rsidP="0096010A">
      <w:pPr>
        <w:pStyle w:val="Bulit"/>
        <w:numPr>
          <w:ilvl w:val="0"/>
          <w:numId w:val="15"/>
        </w:numPr>
        <w:rPr>
          <w:rFonts w:eastAsia="Arial Unicode MS" w:cstheme="majorBidi"/>
        </w:rPr>
      </w:pPr>
      <w:r w:rsidRPr="0096010A">
        <w:rPr>
          <w:rFonts w:eastAsia="Arial Unicode MS" w:cstheme="majorBidi"/>
        </w:rPr>
        <w:t xml:space="preserve">The consulting team should have demonstrated experience in health data interoperability, IT architecture, and regulatory compliance to map the technical, </w:t>
      </w:r>
      <w:proofErr w:type="spellStart"/>
      <w:r w:rsidRPr="0096010A">
        <w:rPr>
          <w:rFonts w:eastAsia="Arial Unicode MS" w:cstheme="majorBidi"/>
        </w:rPr>
        <w:t>organisational</w:t>
      </w:r>
      <w:proofErr w:type="spellEnd"/>
      <w:r w:rsidRPr="0096010A">
        <w:rPr>
          <w:rFonts w:eastAsia="Arial Unicode MS" w:cstheme="majorBidi"/>
        </w:rPr>
        <w:t>, and legal steps required for cross-border exchange of electronic health records, including gap analysis, workflow design, and governance planning.</w:t>
      </w:r>
    </w:p>
    <w:p w14:paraId="4864A8B2" w14:textId="77777777" w:rsidR="0096010A" w:rsidRPr="0096010A" w:rsidRDefault="0096010A" w:rsidP="0096010A">
      <w:pPr>
        <w:pStyle w:val="Bulit"/>
        <w:numPr>
          <w:ilvl w:val="0"/>
          <w:numId w:val="15"/>
        </w:numPr>
        <w:rPr>
          <w:rFonts w:eastAsia="Arial Unicode MS" w:cstheme="majorBidi"/>
        </w:rPr>
      </w:pPr>
      <w:r w:rsidRPr="0096010A">
        <w:rPr>
          <w:rFonts w:eastAsia="Arial Unicode MS" w:cstheme="majorBidi"/>
        </w:rPr>
        <w:lastRenderedPageBreak/>
        <w:t>The Consulting firm must have demonstrated capability in collecting and managing metadata across multi-country health data sources and experience in implementing DCAT-AP compliant metadata registries to support semantic interoperability is mandatory.</w:t>
      </w:r>
    </w:p>
    <w:p w14:paraId="58A88D9A" w14:textId="77777777" w:rsidR="0096010A" w:rsidRPr="0096010A" w:rsidRDefault="0096010A" w:rsidP="0096010A">
      <w:pPr>
        <w:pStyle w:val="Bulit"/>
        <w:numPr>
          <w:ilvl w:val="0"/>
          <w:numId w:val="15"/>
        </w:numPr>
        <w:rPr>
          <w:rFonts w:eastAsia="Arial Unicode MS" w:cstheme="majorBidi"/>
        </w:rPr>
      </w:pPr>
      <w:r w:rsidRPr="0096010A">
        <w:rPr>
          <w:rFonts w:eastAsia="Arial Unicode MS" w:cstheme="majorBidi"/>
        </w:rPr>
        <w:t>Demonstrated practical experience as both data processor and controller in implementing GDPR-compliant safeguards, including consent management, data minimization, and cross-border data transfer protocols is mandatory.</w:t>
      </w:r>
    </w:p>
    <w:p w14:paraId="554D3E16" w14:textId="77777777" w:rsidR="0096010A" w:rsidRPr="0096010A" w:rsidRDefault="0096010A" w:rsidP="0096010A">
      <w:pPr>
        <w:pStyle w:val="Bulit"/>
        <w:numPr>
          <w:ilvl w:val="0"/>
          <w:numId w:val="15"/>
        </w:numPr>
        <w:rPr>
          <w:rFonts w:eastAsia="Arial Unicode MS" w:cstheme="majorBidi"/>
        </w:rPr>
      </w:pPr>
      <w:r w:rsidRPr="0096010A">
        <w:rPr>
          <w:rFonts w:eastAsia="Arial Unicode MS" w:cstheme="majorBidi"/>
        </w:rPr>
        <w:t>The Consulting firm must have demonstrated expertise in medical semantics, including ontologies, taxonomies, and standards such as SNOMED CT, LOINC and ICD-10 and experience in enabling cross-border drug and disease identification through semantic harmonization.</w:t>
      </w:r>
    </w:p>
    <w:p w14:paraId="0F53B679" w14:textId="77777777" w:rsidR="0096010A" w:rsidRPr="0096010A" w:rsidRDefault="0096010A" w:rsidP="0096010A">
      <w:pPr>
        <w:pStyle w:val="Bulit"/>
        <w:numPr>
          <w:ilvl w:val="0"/>
          <w:numId w:val="15"/>
        </w:numPr>
        <w:rPr>
          <w:rFonts w:eastAsia="Arial Unicode MS" w:cstheme="majorBidi"/>
        </w:rPr>
      </w:pPr>
      <w:r w:rsidRPr="0096010A">
        <w:rPr>
          <w:rFonts w:eastAsia="Arial Unicode MS" w:cstheme="majorBidi"/>
        </w:rPr>
        <w:t xml:space="preserve">Proven track record of curating and managing health data, supporting use cases such as, Pharmacovigilance, Health Technology Assessment (HTA), Drug shortage monitoring, Health provider capacity management and Reimbursement modelling is highly </w:t>
      </w:r>
      <w:proofErr w:type="spellStart"/>
      <w:r w:rsidRPr="0096010A">
        <w:rPr>
          <w:rFonts w:eastAsia="Arial Unicode MS" w:cstheme="majorBidi"/>
        </w:rPr>
        <w:t>advantageus</w:t>
      </w:r>
      <w:proofErr w:type="spellEnd"/>
      <w:r w:rsidRPr="0096010A">
        <w:rPr>
          <w:rFonts w:eastAsia="Arial Unicode MS" w:cstheme="majorBidi"/>
        </w:rPr>
        <w:t>.</w:t>
      </w:r>
    </w:p>
    <w:p w14:paraId="198C09B0" w14:textId="77777777" w:rsidR="0096010A" w:rsidRPr="0096010A" w:rsidRDefault="0096010A" w:rsidP="0096010A">
      <w:pPr>
        <w:pStyle w:val="Bulit"/>
        <w:numPr>
          <w:ilvl w:val="0"/>
          <w:numId w:val="15"/>
        </w:numPr>
        <w:rPr>
          <w:rFonts w:eastAsia="Arial Unicode MS" w:cstheme="majorBidi"/>
        </w:rPr>
      </w:pPr>
      <w:r w:rsidRPr="0096010A">
        <w:rPr>
          <w:rFonts w:eastAsia="Arial Unicode MS" w:cstheme="majorBidi"/>
        </w:rPr>
        <w:t>Teams may also demonstrate experience in managing and governing health data, participation in OMOP CDM mapping projects or other academic/EU-funded health data projects, project management capabilities in complex, multi-stakeholder environments, expertise in medical data ontologies and interoperability frameworks, and knowledge of health data quality frameworks, as this will be considered an advantage.</w:t>
      </w:r>
    </w:p>
    <w:p w14:paraId="7EC95257" w14:textId="26755165" w:rsidR="007A40C5" w:rsidRPr="00646973" w:rsidRDefault="0096010A" w:rsidP="0096010A">
      <w:pPr>
        <w:pStyle w:val="Bulit"/>
        <w:numPr>
          <w:ilvl w:val="0"/>
          <w:numId w:val="15"/>
        </w:numPr>
        <w:rPr>
          <w:rFonts w:eastAsia="Arial Unicode MS" w:cstheme="majorBidi"/>
        </w:rPr>
      </w:pPr>
      <w:r w:rsidRPr="0096010A">
        <w:rPr>
          <w:rFonts w:eastAsia="Arial Unicode MS" w:cstheme="majorBidi"/>
        </w:rPr>
        <w:t>Experience in collaboration with public administration authorities and standards mapping will be considered an advantage. This includes demonstrated experience in providing healthcare consulting services to government authorities, experience in mapping national healthcare standards to international frameworks (including medical ontologies), and proven capability in implementing health information systems and enabling data interoperability</w:t>
      </w:r>
      <w:r>
        <w:rPr>
          <w:rFonts w:eastAsia="Arial Unicode MS" w:cstheme="majorBidi"/>
        </w:rPr>
        <w:t>.</w:t>
      </w:r>
    </w:p>
    <w:p w14:paraId="502B4F14" w14:textId="720EA34F" w:rsidR="00DC1D70" w:rsidRPr="00ED3305" w:rsidRDefault="00DC1D70" w:rsidP="00DC1D70">
      <w:pPr>
        <w:suppressAutoHyphens/>
        <w:jc w:val="both"/>
        <w:rPr>
          <w:rFonts w:ascii="Times New Roman" w:hAnsi="Times New Roman"/>
          <w:spacing w:val="-2"/>
          <w:szCs w:val="22"/>
        </w:rPr>
      </w:pPr>
      <w:r w:rsidRPr="00ED3305">
        <w:rPr>
          <w:rFonts w:ascii="Times New Roman" w:hAnsi="Times New Roman"/>
          <w:spacing w:val="-2"/>
          <w:szCs w:val="22"/>
        </w:rPr>
        <w:t xml:space="preserve">The attention of interested Consultants is drawn to paragraphs 3.14, 3.16 and 3.17 of the </w:t>
      </w:r>
      <w:r w:rsidRPr="00ED3305">
        <w:rPr>
          <w:rFonts w:ascii="Times New Roman" w:hAnsi="Times New Roman"/>
          <w:b/>
          <w:i/>
          <w:spacing w:val="-2"/>
          <w:szCs w:val="22"/>
        </w:rPr>
        <w:t xml:space="preserve">World Bank’s Procurement Regulations for IPF Borrowers – Procurement in Investment Project Financing Goods, </w:t>
      </w:r>
      <w:r w:rsidR="00965E53">
        <w:rPr>
          <w:rFonts w:ascii="Times New Roman" w:hAnsi="Times New Roman"/>
          <w:b/>
          <w:i/>
          <w:spacing w:val="-2"/>
          <w:szCs w:val="22"/>
        </w:rPr>
        <w:t>Works</w:t>
      </w:r>
      <w:r w:rsidRPr="00ED3305">
        <w:rPr>
          <w:rFonts w:ascii="Times New Roman" w:hAnsi="Times New Roman"/>
          <w:b/>
          <w:i/>
          <w:spacing w:val="-2"/>
          <w:szCs w:val="22"/>
        </w:rPr>
        <w:t>, Non-Consulting and Consulting Services (July 2016, revised November 2017 and August 2018)</w:t>
      </w:r>
      <w:r w:rsidRPr="00ED3305">
        <w:rPr>
          <w:rFonts w:ascii="Times New Roman" w:hAnsi="Times New Roman"/>
          <w:spacing w:val="-2"/>
          <w:szCs w:val="22"/>
        </w:rPr>
        <w:t xml:space="preserve"> (“the Regulations”) setting forth the World Bank’s policy on conflict of interest.  </w:t>
      </w:r>
    </w:p>
    <w:p w14:paraId="2885825E" w14:textId="77777777" w:rsidR="005D5E33" w:rsidRPr="00ED3305" w:rsidRDefault="005D5E33" w:rsidP="00E25788">
      <w:pPr>
        <w:suppressAutoHyphens/>
        <w:jc w:val="both"/>
        <w:rPr>
          <w:rFonts w:ascii="Times New Roman" w:hAnsi="Times New Roman"/>
          <w:spacing w:val="-2"/>
          <w:szCs w:val="22"/>
        </w:rPr>
      </w:pPr>
    </w:p>
    <w:p w14:paraId="24E70A4B" w14:textId="427D7013" w:rsidR="00F17486" w:rsidRPr="00ED3305" w:rsidRDefault="00930962" w:rsidP="00E25788">
      <w:pPr>
        <w:suppressAutoHyphens/>
        <w:jc w:val="both"/>
        <w:rPr>
          <w:rFonts w:ascii="Times New Roman" w:hAnsi="Times New Roman"/>
          <w:spacing w:val="-2"/>
          <w:szCs w:val="22"/>
        </w:rPr>
      </w:pPr>
      <w:r w:rsidRPr="00ED3305">
        <w:rPr>
          <w:rFonts w:ascii="Times New Roman" w:hAnsi="Times New Roman"/>
          <w:spacing w:val="-2"/>
          <w:szCs w:val="22"/>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r w:rsidR="009830E4" w:rsidRPr="00ED3305">
        <w:rPr>
          <w:rFonts w:ascii="Times New Roman" w:hAnsi="Times New Roman"/>
          <w:spacing w:val="-2"/>
          <w:szCs w:val="22"/>
        </w:rPr>
        <w:t>.</w:t>
      </w:r>
      <w:r w:rsidR="008102FA" w:rsidRPr="008102FA">
        <w:t xml:space="preserve"> </w:t>
      </w:r>
      <w:r w:rsidR="00E87DC4">
        <w:t xml:space="preserve">Maximum number of firms in the JV is up to four. </w:t>
      </w:r>
      <w:r w:rsidR="008102FA">
        <w:rPr>
          <w:rFonts w:ascii="Times New Roman" w:hAnsi="Times New Roman"/>
          <w:spacing w:val="-2"/>
          <w:szCs w:val="22"/>
        </w:rPr>
        <w:t>Consultant shall submit reference list indicating name and description of the contract, name of the client and its representative including his/her email.</w:t>
      </w:r>
      <w:r w:rsidR="00FA6FBA" w:rsidRPr="00FA6FBA">
        <w:t xml:space="preserve"> </w:t>
      </w:r>
      <w:r w:rsidR="00FA6FBA" w:rsidRPr="00FA6FBA">
        <w:rPr>
          <w:rFonts w:ascii="Times New Roman" w:hAnsi="Times New Roman"/>
          <w:spacing w:val="-2"/>
          <w:szCs w:val="22"/>
        </w:rPr>
        <w:t>The experience and record of any proposed sub-consultancy shall not be included in the evaluation. Key Experts' CV are not required and will not be evaluated at the shortlisting stage</w:t>
      </w:r>
      <w:r w:rsidR="00FA6FBA">
        <w:rPr>
          <w:rFonts w:ascii="Times New Roman" w:hAnsi="Times New Roman"/>
          <w:spacing w:val="-2"/>
          <w:szCs w:val="22"/>
        </w:rPr>
        <w:t>.</w:t>
      </w:r>
    </w:p>
    <w:p w14:paraId="4E82B749" w14:textId="77777777" w:rsidR="00F17486" w:rsidRPr="00ED3305" w:rsidRDefault="00F17486" w:rsidP="00E25788">
      <w:pPr>
        <w:suppressAutoHyphens/>
        <w:jc w:val="both"/>
        <w:rPr>
          <w:rFonts w:ascii="Times New Roman" w:hAnsi="Times New Roman"/>
          <w:spacing w:val="-2"/>
          <w:szCs w:val="22"/>
        </w:rPr>
      </w:pPr>
    </w:p>
    <w:p w14:paraId="07BE55C6" w14:textId="77777777" w:rsidR="00103B46" w:rsidRPr="00ED3305" w:rsidRDefault="0089380F" w:rsidP="00E25788">
      <w:pPr>
        <w:suppressAutoHyphens/>
        <w:jc w:val="both"/>
        <w:rPr>
          <w:rFonts w:ascii="Times New Roman" w:hAnsi="Times New Roman"/>
          <w:szCs w:val="22"/>
        </w:rPr>
      </w:pPr>
      <w:r w:rsidRPr="00ED3305">
        <w:rPr>
          <w:rFonts w:ascii="Times New Roman" w:hAnsi="Times New Roman"/>
          <w:szCs w:val="22"/>
        </w:rPr>
        <w:t>A</w:t>
      </w:r>
      <w:r w:rsidR="00103B46" w:rsidRPr="00ED3305">
        <w:rPr>
          <w:rFonts w:ascii="Times New Roman" w:hAnsi="Times New Roman"/>
          <w:szCs w:val="22"/>
        </w:rPr>
        <w:t xml:space="preserve"> Consultant will be selected in accordance with </w:t>
      </w:r>
      <w:r w:rsidRPr="00ED3305">
        <w:rPr>
          <w:rFonts w:ascii="Times New Roman" w:hAnsi="Times New Roman"/>
          <w:szCs w:val="22"/>
        </w:rPr>
        <w:t xml:space="preserve">the </w:t>
      </w:r>
      <w:r w:rsidR="00983A8E" w:rsidRPr="00ED3305">
        <w:rPr>
          <w:rFonts w:ascii="Times New Roman" w:hAnsi="Times New Roman"/>
          <w:i/>
          <w:szCs w:val="22"/>
        </w:rPr>
        <w:t xml:space="preserve">Consultant’s qualifications based selection </w:t>
      </w:r>
      <w:r w:rsidRPr="00ED3305">
        <w:rPr>
          <w:rFonts w:ascii="Times New Roman" w:hAnsi="Times New Roman"/>
          <w:i/>
          <w:szCs w:val="22"/>
        </w:rPr>
        <w:t>(CQS)</w:t>
      </w:r>
      <w:r w:rsidRPr="00ED3305">
        <w:rPr>
          <w:rFonts w:ascii="Times New Roman" w:hAnsi="Times New Roman"/>
          <w:szCs w:val="22"/>
        </w:rPr>
        <w:t xml:space="preserve"> </w:t>
      </w:r>
      <w:r w:rsidR="00103B46" w:rsidRPr="00ED3305">
        <w:rPr>
          <w:rFonts w:ascii="Times New Roman" w:hAnsi="Times New Roman"/>
          <w:szCs w:val="22"/>
        </w:rPr>
        <w:t xml:space="preserve">method </w:t>
      </w:r>
      <w:r w:rsidRPr="00ED3305">
        <w:rPr>
          <w:rFonts w:ascii="Times New Roman" w:hAnsi="Times New Roman"/>
          <w:szCs w:val="22"/>
        </w:rPr>
        <w:t xml:space="preserve">as </w:t>
      </w:r>
      <w:r w:rsidR="00103B46" w:rsidRPr="00ED3305">
        <w:rPr>
          <w:rFonts w:ascii="Times New Roman" w:hAnsi="Times New Roman"/>
          <w:szCs w:val="22"/>
        </w:rPr>
        <w:t xml:space="preserve">set out in the </w:t>
      </w:r>
      <w:r w:rsidR="00983A8E" w:rsidRPr="00ED3305">
        <w:rPr>
          <w:rFonts w:ascii="Times New Roman" w:hAnsi="Times New Roman"/>
          <w:szCs w:val="22"/>
        </w:rPr>
        <w:t>Regulations</w:t>
      </w:r>
      <w:r w:rsidR="00103B46" w:rsidRPr="00ED3305">
        <w:rPr>
          <w:rFonts w:ascii="Times New Roman" w:hAnsi="Times New Roman"/>
          <w:szCs w:val="22"/>
        </w:rPr>
        <w:t>.</w:t>
      </w:r>
    </w:p>
    <w:p w14:paraId="2BED2FC6" w14:textId="77777777" w:rsidR="00916E24" w:rsidRPr="00ED3305" w:rsidRDefault="00916E24" w:rsidP="00E25788">
      <w:pPr>
        <w:suppressAutoHyphens/>
        <w:jc w:val="both"/>
        <w:rPr>
          <w:rFonts w:ascii="Times New Roman" w:hAnsi="Times New Roman"/>
          <w:spacing w:val="-2"/>
          <w:szCs w:val="22"/>
        </w:rPr>
      </w:pPr>
    </w:p>
    <w:p w14:paraId="454E842A" w14:textId="77777777" w:rsidR="009830E4" w:rsidRPr="00ED3305" w:rsidRDefault="00916E24" w:rsidP="00E25788">
      <w:pPr>
        <w:suppressAutoHyphens/>
        <w:jc w:val="both"/>
        <w:rPr>
          <w:rFonts w:ascii="Times New Roman" w:hAnsi="Times New Roman"/>
          <w:spacing w:val="-2"/>
          <w:szCs w:val="22"/>
        </w:rPr>
      </w:pPr>
      <w:r w:rsidRPr="00ED3305">
        <w:rPr>
          <w:rFonts w:ascii="Times New Roman" w:hAnsi="Times New Roman"/>
          <w:spacing w:val="-2"/>
          <w:szCs w:val="22"/>
        </w:rPr>
        <w:t>F</w:t>
      </w:r>
      <w:r w:rsidR="009830E4" w:rsidRPr="00ED3305">
        <w:rPr>
          <w:rFonts w:ascii="Times New Roman" w:hAnsi="Times New Roman"/>
          <w:spacing w:val="-2"/>
          <w:szCs w:val="22"/>
        </w:rPr>
        <w:t xml:space="preserve">urther information </w:t>
      </w:r>
      <w:r w:rsidRPr="00ED3305">
        <w:rPr>
          <w:rFonts w:ascii="Times New Roman" w:hAnsi="Times New Roman"/>
          <w:spacing w:val="-2"/>
          <w:szCs w:val="22"/>
        </w:rPr>
        <w:t xml:space="preserve">can be obtained </w:t>
      </w:r>
      <w:r w:rsidR="00822D7D" w:rsidRPr="00ED3305">
        <w:rPr>
          <w:rFonts w:ascii="Times New Roman" w:hAnsi="Times New Roman"/>
          <w:spacing w:val="-2"/>
          <w:szCs w:val="22"/>
        </w:rPr>
        <w:t xml:space="preserve">from the CFU </w:t>
      </w:r>
      <w:r w:rsidR="009830E4" w:rsidRPr="00ED3305">
        <w:rPr>
          <w:rFonts w:ascii="Times New Roman" w:hAnsi="Times New Roman"/>
          <w:spacing w:val="-2"/>
          <w:szCs w:val="22"/>
        </w:rPr>
        <w:t xml:space="preserve">at the address below </w:t>
      </w:r>
      <w:r w:rsidR="00103B46" w:rsidRPr="00ED3305">
        <w:rPr>
          <w:rFonts w:ascii="Times New Roman" w:hAnsi="Times New Roman"/>
          <w:spacing w:val="-2"/>
          <w:szCs w:val="22"/>
        </w:rPr>
        <w:t xml:space="preserve">from </w:t>
      </w:r>
      <w:r w:rsidR="00A94A9A" w:rsidRPr="00ED3305">
        <w:rPr>
          <w:rFonts w:ascii="Times New Roman" w:hAnsi="Times New Roman"/>
          <w:spacing w:val="-2"/>
          <w:szCs w:val="22"/>
        </w:rPr>
        <w:t>0</w:t>
      </w:r>
      <w:r w:rsidR="003F27EA" w:rsidRPr="00ED3305">
        <w:rPr>
          <w:rFonts w:ascii="Times New Roman" w:hAnsi="Times New Roman"/>
          <w:spacing w:val="-2"/>
          <w:szCs w:val="22"/>
        </w:rPr>
        <w:t>9:</w:t>
      </w:r>
      <w:r w:rsidR="009830E4" w:rsidRPr="00ED3305">
        <w:rPr>
          <w:rFonts w:ascii="Times New Roman" w:hAnsi="Times New Roman"/>
          <w:spacing w:val="-2"/>
          <w:szCs w:val="22"/>
        </w:rPr>
        <w:t>00 to 1</w:t>
      </w:r>
      <w:r w:rsidR="00103B46" w:rsidRPr="00ED3305">
        <w:rPr>
          <w:rFonts w:ascii="Times New Roman" w:hAnsi="Times New Roman"/>
          <w:spacing w:val="-2"/>
          <w:szCs w:val="22"/>
        </w:rPr>
        <w:t>5</w:t>
      </w:r>
      <w:r w:rsidR="003F27EA" w:rsidRPr="00ED3305">
        <w:rPr>
          <w:rFonts w:ascii="Times New Roman" w:hAnsi="Times New Roman"/>
          <w:spacing w:val="-2"/>
          <w:szCs w:val="22"/>
        </w:rPr>
        <w:t>:</w:t>
      </w:r>
      <w:r w:rsidR="009830E4" w:rsidRPr="00ED3305">
        <w:rPr>
          <w:rFonts w:ascii="Times New Roman" w:hAnsi="Times New Roman"/>
          <w:spacing w:val="-2"/>
          <w:szCs w:val="22"/>
        </w:rPr>
        <w:t>00 hours.</w:t>
      </w:r>
    </w:p>
    <w:p w14:paraId="703112CD" w14:textId="77777777" w:rsidR="009830E4" w:rsidRPr="0037139E" w:rsidRDefault="009830E4" w:rsidP="00E25788">
      <w:pPr>
        <w:suppressAutoHyphens/>
        <w:jc w:val="both"/>
        <w:rPr>
          <w:rFonts w:ascii="Times New Roman" w:hAnsi="Times New Roman"/>
          <w:spacing w:val="-2"/>
          <w:szCs w:val="22"/>
        </w:rPr>
      </w:pPr>
    </w:p>
    <w:p w14:paraId="25AB309F" w14:textId="5A7895D7" w:rsidR="003F27EA" w:rsidRPr="003743B1" w:rsidRDefault="003F27EA" w:rsidP="003F27EA">
      <w:pPr>
        <w:jc w:val="both"/>
        <w:rPr>
          <w:rFonts w:ascii="Times New Roman" w:hAnsi="Times New Roman"/>
          <w:szCs w:val="22"/>
        </w:rPr>
      </w:pPr>
      <w:r w:rsidRPr="003743B1">
        <w:rPr>
          <w:rFonts w:ascii="Times New Roman" w:hAnsi="Times New Roman"/>
          <w:spacing w:val="-2"/>
          <w:szCs w:val="22"/>
        </w:rPr>
        <w:t xml:space="preserve">Expressions of interest in English language must be sent in a written form to the </w:t>
      </w:r>
      <w:r w:rsidRPr="003743B1">
        <w:rPr>
          <w:rFonts w:ascii="Times New Roman" w:hAnsi="Times New Roman"/>
          <w:b/>
          <w:spacing w:val="-2"/>
          <w:szCs w:val="22"/>
        </w:rPr>
        <w:t>E-mail</w:t>
      </w:r>
      <w:r w:rsidRPr="003743B1">
        <w:rPr>
          <w:rFonts w:ascii="Times New Roman" w:hAnsi="Times New Roman"/>
          <w:spacing w:val="-2"/>
          <w:szCs w:val="22"/>
        </w:rPr>
        <w:t xml:space="preserve"> address below, by </w:t>
      </w:r>
      <w:r w:rsidR="00646973" w:rsidRPr="00436F3F">
        <w:rPr>
          <w:rFonts w:ascii="Times New Roman" w:hAnsi="Times New Roman"/>
          <w:b/>
          <w:spacing w:val="-2"/>
          <w:szCs w:val="22"/>
        </w:rPr>
        <w:t xml:space="preserve">December </w:t>
      </w:r>
      <w:r w:rsidR="00436F3F" w:rsidRPr="00436F3F">
        <w:rPr>
          <w:rFonts w:ascii="Times New Roman" w:hAnsi="Times New Roman"/>
          <w:b/>
          <w:spacing w:val="-2"/>
          <w:szCs w:val="22"/>
        </w:rPr>
        <w:t>23</w:t>
      </w:r>
      <w:r w:rsidR="00993F6C">
        <w:rPr>
          <w:rFonts w:ascii="Times New Roman" w:hAnsi="Times New Roman"/>
          <w:b/>
          <w:spacing w:val="-2"/>
          <w:szCs w:val="22"/>
        </w:rPr>
        <w:t>, 2025</w:t>
      </w:r>
      <w:r w:rsidRPr="003743B1">
        <w:rPr>
          <w:rFonts w:ascii="Times New Roman" w:hAnsi="Times New Roman"/>
          <w:b/>
          <w:spacing w:val="-2"/>
          <w:szCs w:val="22"/>
        </w:rPr>
        <w:t>, 12:00 hours, noon</w:t>
      </w:r>
      <w:r w:rsidRPr="003743B1">
        <w:rPr>
          <w:rFonts w:ascii="Times New Roman" w:hAnsi="Times New Roman"/>
          <w:spacing w:val="-2"/>
          <w:szCs w:val="22"/>
        </w:rPr>
        <w:t>, local time.</w:t>
      </w:r>
      <w:r w:rsidRPr="003743B1">
        <w:rPr>
          <w:rFonts w:ascii="Times New Roman" w:hAnsi="Times New Roman"/>
          <w:szCs w:val="22"/>
        </w:rPr>
        <w:t xml:space="preserve"> </w:t>
      </w:r>
    </w:p>
    <w:p w14:paraId="3374F7D7" w14:textId="77777777" w:rsidR="003F27EA" w:rsidRDefault="003F27EA" w:rsidP="003F27EA">
      <w:pPr>
        <w:suppressAutoHyphens/>
        <w:rPr>
          <w:rFonts w:ascii="Times New Roman" w:hAnsi="Times New Roman"/>
          <w:spacing w:val="-2"/>
          <w:sz w:val="24"/>
        </w:rPr>
      </w:pPr>
    </w:p>
    <w:p w14:paraId="2954AFCD" w14:textId="77777777" w:rsidR="003F27EA" w:rsidRPr="00E62241" w:rsidRDefault="003F27EA" w:rsidP="003F27EA">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870"/>
        <w:gridCol w:w="4042"/>
      </w:tblGrid>
      <w:tr w:rsidR="003F27EA" w:rsidRPr="003743B1" w14:paraId="31DDBBCE" w14:textId="77777777" w:rsidTr="00323ED9">
        <w:tc>
          <w:tcPr>
            <w:tcW w:w="1088" w:type="dxa"/>
            <w:shd w:val="clear" w:color="auto" w:fill="auto"/>
            <w:vAlign w:val="center"/>
          </w:tcPr>
          <w:p w14:paraId="30E903E5"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Contact:</w:t>
            </w:r>
          </w:p>
        </w:tc>
        <w:tc>
          <w:tcPr>
            <w:tcW w:w="3870" w:type="dxa"/>
            <w:shd w:val="clear" w:color="auto" w:fill="auto"/>
            <w:vAlign w:val="center"/>
          </w:tcPr>
          <w:p w14:paraId="76473969"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E–mail:</w:t>
            </w:r>
          </w:p>
        </w:tc>
        <w:tc>
          <w:tcPr>
            <w:tcW w:w="4042" w:type="dxa"/>
            <w:shd w:val="clear" w:color="auto" w:fill="auto"/>
            <w:vAlign w:val="center"/>
          </w:tcPr>
          <w:p w14:paraId="25726D74"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Address:</w:t>
            </w:r>
          </w:p>
        </w:tc>
      </w:tr>
      <w:tr w:rsidR="003F27EA" w:rsidRPr="003743B1" w14:paraId="506D14DF" w14:textId="77777777" w:rsidTr="00323ED9">
        <w:trPr>
          <w:trHeight w:val="1248"/>
        </w:trPr>
        <w:tc>
          <w:tcPr>
            <w:tcW w:w="1088" w:type="dxa"/>
            <w:shd w:val="clear" w:color="auto" w:fill="auto"/>
          </w:tcPr>
          <w:p w14:paraId="227A9E50" w14:textId="77777777" w:rsidR="003F27EA" w:rsidRPr="003743B1" w:rsidRDefault="003F27EA" w:rsidP="00323ED9">
            <w:pPr>
              <w:spacing w:after="75" w:line="360" w:lineRule="atLeast"/>
              <w:rPr>
                <w:rFonts w:ascii="Arial" w:hAnsi="Arial" w:cs="Arial"/>
                <w:color w:val="555556"/>
                <w:szCs w:val="22"/>
              </w:rPr>
            </w:pPr>
            <w:r w:rsidRPr="003743B1">
              <w:rPr>
                <w:rFonts w:ascii="Times New Roman" w:hAnsi="Times New Roman"/>
                <w:spacing w:val="-2"/>
                <w:szCs w:val="22"/>
              </w:rPr>
              <w:t>To:</w:t>
            </w:r>
          </w:p>
        </w:tc>
        <w:tc>
          <w:tcPr>
            <w:tcW w:w="3870" w:type="dxa"/>
            <w:shd w:val="clear" w:color="auto" w:fill="auto"/>
          </w:tcPr>
          <w:p w14:paraId="551819AF" w14:textId="77777777" w:rsidR="003F27EA" w:rsidRPr="003743B1" w:rsidRDefault="003218F7" w:rsidP="00323ED9">
            <w:pPr>
              <w:spacing w:line="360" w:lineRule="atLeast"/>
              <w:rPr>
                <w:rFonts w:ascii="Times New Roman" w:hAnsi="Times New Roman"/>
                <w:spacing w:val="-2"/>
                <w:szCs w:val="22"/>
              </w:rPr>
            </w:pPr>
            <w:hyperlink r:id="rId8" w:history="1">
              <w:r w:rsidR="003F27EA" w:rsidRPr="003743B1">
                <w:rPr>
                  <w:rStyle w:val="Hyperlink"/>
                  <w:rFonts w:ascii="Times New Roman" w:hAnsi="Times New Roman"/>
                  <w:szCs w:val="22"/>
                </w:rPr>
                <w:t>ljiljana.krejovic@mfin.gov.rs</w:t>
              </w:r>
            </w:hyperlink>
          </w:p>
          <w:p w14:paraId="189E3860" w14:textId="77777777" w:rsidR="003F27EA" w:rsidRPr="003743B1" w:rsidRDefault="003F27EA" w:rsidP="00323ED9">
            <w:pPr>
              <w:spacing w:after="75" w:line="360" w:lineRule="atLeast"/>
              <w:rPr>
                <w:rFonts w:ascii="Times New Roman" w:hAnsi="Times New Roman"/>
                <w:spacing w:val="-2"/>
                <w:szCs w:val="22"/>
              </w:rPr>
            </w:pPr>
            <w:proofErr w:type="spellStart"/>
            <w:r w:rsidRPr="003743B1">
              <w:rPr>
                <w:rFonts w:ascii="Times New Roman" w:hAnsi="Times New Roman"/>
                <w:spacing w:val="-2"/>
                <w:szCs w:val="22"/>
              </w:rPr>
              <w:t>Ms</w:t>
            </w:r>
            <w:proofErr w:type="spellEnd"/>
            <w:r w:rsidRPr="003743B1">
              <w:rPr>
                <w:rFonts w:ascii="Times New Roman" w:hAnsi="Times New Roman"/>
                <w:spacing w:val="-2"/>
                <w:szCs w:val="22"/>
              </w:rPr>
              <w:t xml:space="preserve"> Ljiljana Krejovic</w:t>
            </w:r>
          </w:p>
          <w:p w14:paraId="08E580A3" w14:textId="77777777" w:rsidR="003F27EA" w:rsidRPr="003743B1" w:rsidRDefault="003F27EA" w:rsidP="00323ED9">
            <w:pPr>
              <w:spacing w:after="75" w:line="360" w:lineRule="atLeast"/>
              <w:rPr>
                <w:rFonts w:ascii="Times New Roman" w:hAnsi="Times New Roman"/>
                <w:spacing w:val="-2"/>
                <w:szCs w:val="22"/>
              </w:rPr>
            </w:pPr>
            <w:r w:rsidRPr="003743B1">
              <w:rPr>
                <w:rFonts w:ascii="Times New Roman" w:hAnsi="Times New Roman"/>
                <w:spacing w:val="-2"/>
                <w:szCs w:val="22"/>
              </w:rPr>
              <w:t>Procurement Specialist</w:t>
            </w:r>
          </w:p>
        </w:tc>
        <w:tc>
          <w:tcPr>
            <w:tcW w:w="4042" w:type="dxa"/>
            <w:vMerge w:val="restart"/>
            <w:shd w:val="clear" w:color="auto" w:fill="auto"/>
          </w:tcPr>
          <w:p w14:paraId="6784A4CF"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Ministry of Finance</w:t>
            </w:r>
          </w:p>
          <w:p w14:paraId="66B390DC"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Central Fiduciary Unit</w:t>
            </w:r>
          </w:p>
          <w:p w14:paraId="11C924D6" w14:textId="5268D06A" w:rsidR="003F27EA" w:rsidRPr="003743B1" w:rsidRDefault="00993F6C" w:rsidP="00323ED9">
            <w:pPr>
              <w:spacing w:before="120"/>
              <w:rPr>
                <w:rFonts w:ascii="Times New Roman" w:hAnsi="Times New Roman"/>
                <w:spacing w:val="-2"/>
                <w:szCs w:val="22"/>
              </w:rPr>
            </w:pPr>
            <w:r>
              <w:rPr>
                <w:rFonts w:ascii="Times New Roman" w:hAnsi="Times New Roman"/>
                <w:spacing w:val="-2"/>
                <w:szCs w:val="22"/>
              </w:rPr>
              <w:t xml:space="preserve">53 </w:t>
            </w:r>
            <w:proofErr w:type="spellStart"/>
            <w:r>
              <w:rPr>
                <w:rFonts w:ascii="Times New Roman" w:hAnsi="Times New Roman"/>
                <w:spacing w:val="-2"/>
                <w:szCs w:val="22"/>
              </w:rPr>
              <w:t>Balkanska</w:t>
            </w:r>
            <w:proofErr w:type="spellEnd"/>
            <w:r w:rsidR="003F27EA" w:rsidRPr="003743B1">
              <w:rPr>
                <w:rFonts w:ascii="Times New Roman" w:hAnsi="Times New Roman"/>
                <w:spacing w:val="-2"/>
                <w:szCs w:val="22"/>
              </w:rPr>
              <w:t xml:space="preserve"> St</w:t>
            </w:r>
          </w:p>
          <w:p w14:paraId="6C96E235"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11000 Belgrade, Serbia</w:t>
            </w:r>
          </w:p>
          <w:p w14:paraId="7370FB7E" w14:textId="62C3FEC2" w:rsidR="003F27EA" w:rsidRPr="003743B1" w:rsidRDefault="003F27EA" w:rsidP="00993F6C">
            <w:pPr>
              <w:spacing w:before="120"/>
              <w:rPr>
                <w:rFonts w:ascii="Times New Roman" w:hAnsi="Times New Roman"/>
                <w:spacing w:val="-2"/>
                <w:szCs w:val="22"/>
              </w:rPr>
            </w:pPr>
            <w:r w:rsidRPr="003743B1">
              <w:rPr>
                <w:rFonts w:ascii="Times New Roman" w:hAnsi="Times New Roman"/>
                <w:spacing w:val="-2"/>
                <w:szCs w:val="22"/>
              </w:rPr>
              <w:t xml:space="preserve">Tel/Fax: (+381 11) </w:t>
            </w:r>
            <w:r w:rsidR="00993F6C">
              <w:rPr>
                <w:rFonts w:ascii="Times New Roman" w:hAnsi="Times New Roman"/>
                <w:spacing w:val="-2"/>
                <w:szCs w:val="22"/>
              </w:rPr>
              <w:t>765</w:t>
            </w:r>
            <w:r w:rsidRPr="003743B1">
              <w:rPr>
                <w:rFonts w:ascii="Times New Roman" w:hAnsi="Times New Roman"/>
                <w:spacing w:val="-2"/>
                <w:szCs w:val="22"/>
              </w:rPr>
              <w:t>2</w:t>
            </w:r>
            <w:r w:rsidR="00993F6C">
              <w:rPr>
                <w:rFonts w:ascii="Times New Roman" w:hAnsi="Times New Roman"/>
                <w:spacing w:val="-2"/>
                <w:szCs w:val="22"/>
              </w:rPr>
              <w:t>652</w:t>
            </w:r>
            <w:r w:rsidRPr="003743B1">
              <w:rPr>
                <w:rFonts w:ascii="Times New Roman" w:hAnsi="Times New Roman"/>
                <w:spacing w:val="-2"/>
                <w:szCs w:val="22"/>
              </w:rPr>
              <w:t>       </w:t>
            </w:r>
          </w:p>
        </w:tc>
      </w:tr>
      <w:tr w:rsidR="003F27EA" w:rsidRPr="003743B1" w14:paraId="136BD045" w14:textId="77777777" w:rsidTr="00323ED9">
        <w:tc>
          <w:tcPr>
            <w:tcW w:w="1088" w:type="dxa"/>
            <w:shd w:val="clear" w:color="auto" w:fill="auto"/>
          </w:tcPr>
          <w:p w14:paraId="03C691D9" w14:textId="77777777" w:rsidR="003F27EA" w:rsidRPr="003743B1" w:rsidRDefault="003F27EA" w:rsidP="00323ED9">
            <w:pPr>
              <w:spacing w:after="75" w:line="360" w:lineRule="atLeast"/>
              <w:rPr>
                <w:rFonts w:ascii="Arial" w:hAnsi="Arial" w:cs="Arial"/>
                <w:color w:val="555556"/>
                <w:szCs w:val="22"/>
              </w:rPr>
            </w:pPr>
            <w:r w:rsidRPr="003743B1">
              <w:rPr>
                <w:rFonts w:ascii="Times New Roman" w:hAnsi="Times New Roman"/>
                <w:spacing w:val="-2"/>
                <w:szCs w:val="22"/>
              </w:rPr>
              <w:t>Cc:</w:t>
            </w:r>
          </w:p>
        </w:tc>
        <w:tc>
          <w:tcPr>
            <w:tcW w:w="3870" w:type="dxa"/>
            <w:shd w:val="clear" w:color="auto" w:fill="auto"/>
          </w:tcPr>
          <w:p w14:paraId="73D5D558" w14:textId="77777777" w:rsidR="003F27EA" w:rsidRPr="003743B1" w:rsidRDefault="003218F7" w:rsidP="00323ED9">
            <w:pPr>
              <w:spacing w:line="360" w:lineRule="atLeast"/>
              <w:rPr>
                <w:rFonts w:ascii="Times New Roman" w:hAnsi="Times New Roman"/>
                <w:spacing w:val="-2"/>
                <w:szCs w:val="22"/>
              </w:rPr>
            </w:pPr>
            <w:hyperlink r:id="rId9" w:history="1">
              <w:r w:rsidR="003F27EA" w:rsidRPr="003743B1">
                <w:rPr>
                  <w:rStyle w:val="Hyperlink"/>
                  <w:rFonts w:ascii="Times New Roman" w:hAnsi="Times New Roman"/>
                  <w:szCs w:val="22"/>
                </w:rPr>
                <w:t>ljiljana.dzuver@mfin.gov.rs</w:t>
              </w:r>
            </w:hyperlink>
          </w:p>
        </w:tc>
        <w:tc>
          <w:tcPr>
            <w:tcW w:w="4042" w:type="dxa"/>
            <w:vMerge/>
            <w:shd w:val="clear" w:color="auto" w:fill="auto"/>
          </w:tcPr>
          <w:p w14:paraId="6D6694EA" w14:textId="77777777" w:rsidR="003F27EA" w:rsidRPr="003743B1" w:rsidRDefault="003F27EA" w:rsidP="00323ED9">
            <w:pPr>
              <w:spacing w:after="75" w:line="360" w:lineRule="atLeast"/>
              <w:rPr>
                <w:rFonts w:ascii="Times New Roman" w:hAnsi="Times New Roman"/>
                <w:spacing w:val="-2"/>
                <w:szCs w:val="22"/>
              </w:rPr>
            </w:pPr>
          </w:p>
        </w:tc>
      </w:tr>
      <w:tr w:rsidR="003F27EA" w:rsidRPr="003743B1" w14:paraId="05BB978B" w14:textId="77777777" w:rsidTr="00323ED9">
        <w:tc>
          <w:tcPr>
            <w:tcW w:w="1088" w:type="dxa"/>
            <w:shd w:val="clear" w:color="auto" w:fill="auto"/>
          </w:tcPr>
          <w:p w14:paraId="2A2192E7" w14:textId="77777777" w:rsidR="003F27EA" w:rsidRPr="003743B1" w:rsidRDefault="003F27EA" w:rsidP="00323ED9">
            <w:pPr>
              <w:spacing w:after="75" w:line="360" w:lineRule="atLeast"/>
              <w:rPr>
                <w:rFonts w:ascii="Times New Roman" w:hAnsi="Times New Roman"/>
                <w:spacing w:val="-2"/>
                <w:szCs w:val="22"/>
              </w:rPr>
            </w:pPr>
            <w:r w:rsidRPr="003743B1">
              <w:rPr>
                <w:rFonts w:ascii="Times New Roman" w:hAnsi="Times New Roman"/>
                <w:spacing w:val="-2"/>
                <w:szCs w:val="22"/>
              </w:rPr>
              <w:lastRenderedPageBreak/>
              <w:t>Cc:</w:t>
            </w:r>
          </w:p>
        </w:tc>
        <w:tc>
          <w:tcPr>
            <w:tcW w:w="3870" w:type="dxa"/>
            <w:shd w:val="clear" w:color="auto" w:fill="auto"/>
          </w:tcPr>
          <w:p w14:paraId="17DEB906" w14:textId="7CBD9238" w:rsidR="00993F6C" w:rsidRDefault="003218F7" w:rsidP="00323ED9">
            <w:pPr>
              <w:spacing w:line="360" w:lineRule="atLeast"/>
            </w:pPr>
            <w:hyperlink r:id="rId10" w:history="1">
              <w:r w:rsidR="00993F6C" w:rsidRPr="006C29A1">
                <w:rPr>
                  <w:rStyle w:val="Hyperlink"/>
                </w:rPr>
                <w:t>nenad.antonijevic@ite.gov.rs</w:t>
              </w:r>
            </w:hyperlink>
          </w:p>
          <w:p w14:paraId="1F78F2B9" w14:textId="4B8A68AE" w:rsidR="003F27EA" w:rsidRDefault="003218F7" w:rsidP="00323ED9">
            <w:pPr>
              <w:spacing w:line="360" w:lineRule="atLeast"/>
            </w:pPr>
            <w:hyperlink r:id="rId11" w:history="1">
              <w:r w:rsidR="000A4772" w:rsidRPr="00030A77">
                <w:rPr>
                  <w:rStyle w:val="Hyperlink"/>
                </w:rPr>
                <w:t>edge@ite.gov.rs</w:t>
              </w:r>
            </w:hyperlink>
          </w:p>
          <w:p w14:paraId="4DF6522A" w14:textId="3CF50977" w:rsidR="000A4772" w:rsidRPr="003743B1" w:rsidRDefault="000A4772" w:rsidP="00323ED9">
            <w:pPr>
              <w:spacing w:line="360" w:lineRule="atLeast"/>
              <w:rPr>
                <w:szCs w:val="22"/>
              </w:rPr>
            </w:pPr>
          </w:p>
        </w:tc>
        <w:tc>
          <w:tcPr>
            <w:tcW w:w="4042" w:type="dxa"/>
            <w:shd w:val="clear" w:color="auto" w:fill="auto"/>
          </w:tcPr>
          <w:p w14:paraId="7DBAE3A1" w14:textId="77777777" w:rsidR="003F27EA" w:rsidRPr="003743B1" w:rsidRDefault="003F27EA" w:rsidP="00323ED9">
            <w:pPr>
              <w:spacing w:after="75" w:line="360" w:lineRule="atLeast"/>
              <w:rPr>
                <w:rFonts w:ascii="Times New Roman" w:hAnsi="Times New Roman"/>
                <w:spacing w:val="-2"/>
                <w:szCs w:val="22"/>
              </w:rPr>
            </w:pPr>
          </w:p>
        </w:tc>
      </w:tr>
    </w:tbl>
    <w:p w14:paraId="08B1734F" w14:textId="77777777" w:rsidR="00A94A9A" w:rsidRPr="004B37D4" w:rsidRDefault="00A94A9A" w:rsidP="004B37D4">
      <w:pPr>
        <w:tabs>
          <w:tab w:val="left" w:pos="2475"/>
        </w:tabs>
        <w:suppressAutoHyphens/>
        <w:rPr>
          <w:rFonts w:ascii="Times New Roman" w:hAnsi="Times New Roman"/>
          <w:spacing w:val="-2"/>
          <w:sz w:val="2"/>
          <w:szCs w:val="2"/>
        </w:rPr>
      </w:pPr>
    </w:p>
    <w:sectPr w:rsidR="00A94A9A" w:rsidRPr="004B37D4" w:rsidSect="00E25788">
      <w:headerReference w:type="default" r:id="rId12"/>
      <w:endnotePr>
        <w:numFmt w:val="decimal"/>
      </w:endnotePr>
      <w:pgSz w:w="12240" w:h="15840"/>
      <w:pgMar w:top="720" w:right="720" w:bottom="720" w:left="72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4F913" w14:textId="77777777" w:rsidR="003218F7" w:rsidRDefault="003218F7">
      <w:r>
        <w:separator/>
      </w:r>
    </w:p>
  </w:endnote>
  <w:endnote w:type="continuationSeparator" w:id="0">
    <w:p w14:paraId="383C78FD" w14:textId="77777777" w:rsidR="003218F7" w:rsidRDefault="003218F7">
      <w:r>
        <w:rPr>
          <w:sz w:val="24"/>
        </w:rPr>
        <w:t xml:space="preserve"> </w:t>
      </w:r>
    </w:p>
  </w:endnote>
  <w:endnote w:type="continuationNotice" w:id="1">
    <w:p w14:paraId="57CA1B80" w14:textId="77777777" w:rsidR="003218F7" w:rsidRDefault="003218F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5737" w14:textId="77777777" w:rsidR="003218F7" w:rsidRDefault="003218F7">
      <w:r>
        <w:rPr>
          <w:sz w:val="24"/>
        </w:rPr>
        <w:separator/>
      </w:r>
    </w:p>
  </w:footnote>
  <w:footnote w:type="continuationSeparator" w:id="0">
    <w:p w14:paraId="0E68F84F" w14:textId="77777777" w:rsidR="003218F7" w:rsidRDefault="0032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CB80"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32266"/>
    <w:multiLevelType w:val="hybridMultilevel"/>
    <w:tmpl w:val="BBB223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73737"/>
    <w:multiLevelType w:val="hybridMultilevel"/>
    <w:tmpl w:val="9E28DBFE"/>
    <w:lvl w:ilvl="0" w:tplc="D90A09A6">
      <w:start w:val="1"/>
      <w:numFmt w:val="bullet"/>
      <w:lvlText w:val=""/>
      <w:lvlJc w:val="left"/>
      <w:pPr>
        <w:ind w:left="720" w:hanging="360"/>
      </w:pPr>
      <w:rPr>
        <w:rFonts w:ascii="Wingdings" w:hAnsi="Wingdings" w:hint="default"/>
        <w:color w:val="C00000"/>
        <w:u w:color="FFFFFF" w:themeColor="background1"/>
      </w:rPr>
    </w:lvl>
    <w:lvl w:ilvl="1" w:tplc="08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A558B"/>
    <w:multiLevelType w:val="hybridMultilevel"/>
    <w:tmpl w:val="FD0E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22D61"/>
    <w:multiLevelType w:val="multilevel"/>
    <w:tmpl w:val="50D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40141"/>
    <w:multiLevelType w:val="hybridMultilevel"/>
    <w:tmpl w:val="B0901434"/>
    <w:lvl w:ilvl="0" w:tplc="D90A09A6">
      <w:start w:val="1"/>
      <w:numFmt w:val="bullet"/>
      <w:lvlText w:val=""/>
      <w:lvlJc w:val="left"/>
      <w:pPr>
        <w:ind w:left="720" w:hanging="360"/>
      </w:pPr>
      <w:rPr>
        <w:rFonts w:ascii="Wingdings" w:hAnsi="Wingdings" w:hint="default"/>
        <w:color w:val="C00000"/>
        <w:u w:color="FFFFFF" w:themeColor="background1"/>
      </w:rPr>
    </w:lvl>
    <w:lvl w:ilvl="1" w:tplc="FE3876C2">
      <w:start w:val="31"/>
      <w:numFmt w:val="bullet"/>
      <w:lvlText w:val="-"/>
      <w:lvlJc w:val="left"/>
      <w:pPr>
        <w:ind w:left="1440" w:hanging="360"/>
      </w:pPr>
      <w:rPr>
        <w:rFonts w:ascii="Arial" w:eastAsia="MS PGothic"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46844"/>
    <w:multiLevelType w:val="hybridMultilevel"/>
    <w:tmpl w:val="C1C658CE"/>
    <w:lvl w:ilvl="0" w:tplc="8C8C61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63D45"/>
    <w:multiLevelType w:val="hybridMultilevel"/>
    <w:tmpl w:val="A4E44F2E"/>
    <w:lvl w:ilvl="0" w:tplc="D90A09A6">
      <w:start w:val="1"/>
      <w:numFmt w:val="bullet"/>
      <w:lvlText w:val=""/>
      <w:lvlJc w:val="left"/>
      <w:pPr>
        <w:ind w:left="1440" w:hanging="360"/>
      </w:pPr>
      <w:rPr>
        <w:rFonts w:ascii="Wingdings" w:hAnsi="Wingdings" w:hint="default"/>
        <w:color w:val="C00000"/>
        <w:u w:color="FFFFFF" w:themeColor="background1"/>
      </w:rPr>
    </w:lvl>
    <w:lvl w:ilvl="1" w:tplc="E9F4BAE6">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454333"/>
    <w:multiLevelType w:val="hybridMultilevel"/>
    <w:tmpl w:val="6CE0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56817"/>
    <w:multiLevelType w:val="hybridMultilevel"/>
    <w:tmpl w:val="0A886C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A91E97"/>
    <w:multiLevelType w:val="multilevel"/>
    <w:tmpl w:val="6F6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F70F3"/>
    <w:multiLevelType w:val="hybridMultilevel"/>
    <w:tmpl w:val="B86EC5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40BF0"/>
    <w:multiLevelType w:val="hybridMultilevel"/>
    <w:tmpl w:val="637C265C"/>
    <w:lvl w:ilvl="0" w:tplc="0DA26BF0">
      <w:start w:val="1"/>
      <w:numFmt w:val="decimal"/>
      <w:pStyle w:val="Bulit"/>
      <w:lvlText w:val="%1."/>
      <w:lvlJc w:val="left"/>
      <w:pPr>
        <w:ind w:left="1080" w:hanging="360"/>
      </w:pPr>
      <w:rPr>
        <w:rFonts w:ascii="Times New Roman" w:eastAsia="Calibri" w:hAnsi="Times New Roman" w:cs="Calibr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A009FC"/>
    <w:multiLevelType w:val="hybridMultilevel"/>
    <w:tmpl w:val="D650533A"/>
    <w:lvl w:ilvl="0" w:tplc="D7FA54AC">
      <w:start w:val="1"/>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5B28D5"/>
    <w:multiLevelType w:val="hybridMultilevel"/>
    <w:tmpl w:val="6E88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FC148C"/>
    <w:multiLevelType w:val="hybridMultilevel"/>
    <w:tmpl w:val="EAD0C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8"/>
  </w:num>
  <w:num w:numId="5">
    <w:abstractNumId w:val="6"/>
  </w:num>
  <w:num w:numId="6">
    <w:abstractNumId w:val="1"/>
  </w:num>
  <w:num w:numId="7">
    <w:abstractNumId w:val="4"/>
  </w:num>
  <w:num w:numId="8">
    <w:abstractNumId w:val="5"/>
  </w:num>
  <w:num w:numId="9">
    <w:abstractNumId w:val="7"/>
  </w:num>
  <w:num w:numId="10">
    <w:abstractNumId w:val="2"/>
  </w:num>
  <w:num w:numId="11">
    <w:abstractNumId w:val="13"/>
  </w:num>
  <w:num w:numId="12">
    <w:abstractNumId w:val="9"/>
  </w:num>
  <w:num w:numId="13">
    <w:abstractNumId w:val="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0720"/>
    <w:rsid w:val="00034548"/>
    <w:rsid w:val="00050CBE"/>
    <w:rsid w:val="000A4184"/>
    <w:rsid w:val="000A4772"/>
    <w:rsid w:val="000B0843"/>
    <w:rsid w:val="000B7329"/>
    <w:rsid w:val="000C4041"/>
    <w:rsid w:val="00103B46"/>
    <w:rsid w:val="00104784"/>
    <w:rsid w:val="00131C96"/>
    <w:rsid w:val="001836DB"/>
    <w:rsid w:val="00186F7D"/>
    <w:rsid w:val="001A30CA"/>
    <w:rsid w:val="001A5997"/>
    <w:rsid w:val="001B0D84"/>
    <w:rsid w:val="001C2BCD"/>
    <w:rsid w:val="001D70EB"/>
    <w:rsid w:val="0021766A"/>
    <w:rsid w:val="0025144D"/>
    <w:rsid w:val="002563C1"/>
    <w:rsid w:val="00270FD2"/>
    <w:rsid w:val="002727A9"/>
    <w:rsid w:val="002B0171"/>
    <w:rsid w:val="002B522F"/>
    <w:rsid w:val="002E530F"/>
    <w:rsid w:val="003218F7"/>
    <w:rsid w:val="00332518"/>
    <w:rsid w:val="00357959"/>
    <w:rsid w:val="0036047A"/>
    <w:rsid w:val="0037139E"/>
    <w:rsid w:val="00373DD4"/>
    <w:rsid w:val="003743B1"/>
    <w:rsid w:val="00385024"/>
    <w:rsid w:val="00391D87"/>
    <w:rsid w:val="003A1D8D"/>
    <w:rsid w:val="003C1A8D"/>
    <w:rsid w:val="003C2D23"/>
    <w:rsid w:val="003D09DC"/>
    <w:rsid w:val="003F27EA"/>
    <w:rsid w:val="0040538F"/>
    <w:rsid w:val="00415C53"/>
    <w:rsid w:val="0043084B"/>
    <w:rsid w:val="00430FB4"/>
    <w:rsid w:val="00436F3F"/>
    <w:rsid w:val="004560B6"/>
    <w:rsid w:val="004A03ED"/>
    <w:rsid w:val="004A5E03"/>
    <w:rsid w:val="004B18F2"/>
    <w:rsid w:val="004B37D4"/>
    <w:rsid w:val="004E721D"/>
    <w:rsid w:val="004F0EE9"/>
    <w:rsid w:val="0050661F"/>
    <w:rsid w:val="005377AC"/>
    <w:rsid w:val="0054445F"/>
    <w:rsid w:val="005B5031"/>
    <w:rsid w:val="005D5E33"/>
    <w:rsid w:val="006039F1"/>
    <w:rsid w:val="00646973"/>
    <w:rsid w:val="00696F98"/>
    <w:rsid w:val="006974D1"/>
    <w:rsid w:val="006D6898"/>
    <w:rsid w:val="006F3706"/>
    <w:rsid w:val="00732F3E"/>
    <w:rsid w:val="007629BB"/>
    <w:rsid w:val="007A40C5"/>
    <w:rsid w:val="007B4CE4"/>
    <w:rsid w:val="007C539B"/>
    <w:rsid w:val="007D1C85"/>
    <w:rsid w:val="007D59F6"/>
    <w:rsid w:val="007E72D3"/>
    <w:rsid w:val="008102FA"/>
    <w:rsid w:val="00811525"/>
    <w:rsid w:val="00813454"/>
    <w:rsid w:val="00822D7D"/>
    <w:rsid w:val="00843124"/>
    <w:rsid w:val="00875FFD"/>
    <w:rsid w:val="0087623A"/>
    <w:rsid w:val="008929AC"/>
    <w:rsid w:val="00892C92"/>
    <w:rsid w:val="0089380F"/>
    <w:rsid w:val="00894E8C"/>
    <w:rsid w:val="008A4AA7"/>
    <w:rsid w:val="008C1387"/>
    <w:rsid w:val="008D5364"/>
    <w:rsid w:val="008F1B66"/>
    <w:rsid w:val="008F38E8"/>
    <w:rsid w:val="00905385"/>
    <w:rsid w:val="00916E24"/>
    <w:rsid w:val="00930962"/>
    <w:rsid w:val="00930D65"/>
    <w:rsid w:val="0093490C"/>
    <w:rsid w:val="0096010A"/>
    <w:rsid w:val="00965E53"/>
    <w:rsid w:val="009830E4"/>
    <w:rsid w:val="00983A8E"/>
    <w:rsid w:val="00993F6C"/>
    <w:rsid w:val="009A6D02"/>
    <w:rsid w:val="009A7BEB"/>
    <w:rsid w:val="009B04A5"/>
    <w:rsid w:val="009B58F5"/>
    <w:rsid w:val="009E3905"/>
    <w:rsid w:val="009E4A48"/>
    <w:rsid w:val="00A05A45"/>
    <w:rsid w:val="00A05DE2"/>
    <w:rsid w:val="00A62834"/>
    <w:rsid w:val="00A94A9A"/>
    <w:rsid w:val="00A9794E"/>
    <w:rsid w:val="00AD2E13"/>
    <w:rsid w:val="00AF0F7D"/>
    <w:rsid w:val="00B21FC4"/>
    <w:rsid w:val="00B3630A"/>
    <w:rsid w:val="00B74B11"/>
    <w:rsid w:val="00B74CEC"/>
    <w:rsid w:val="00BA4299"/>
    <w:rsid w:val="00BC1BB9"/>
    <w:rsid w:val="00BD6CBC"/>
    <w:rsid w:val="00C05D26"/>
    <w:rsid w:val="00C155E6"/>
    <w:rsid w:val="00CB1558"/>
    <w:rsid w:val="00CE0D2A"/>
    <w:rsid w:val="00CF5D87"/>
    <w:rsid w:val="00D04EA8"/>
    <w:rsid w:val="00D26115"/>
    <w:rsid w:val="00D26B12"/>
    <w:rsid w:val="00D300DD"/>
    <w:rsid w:val="00D5320F"/>
    <w:rsid w:val="00D83BCE"/>
    <w:rsid w:val="00DA15DD"/>
    <w:rsid w:val="00DB4425"/>
    <w:rsid w:val="00DC1D70"/>
    <w:rsid w:val="00DC634A"/>
    <w:rsid w:val="00DE62DC"/>
    <w:rsid w:val="00DF029B"/>
    <w:rsid w:val="00DF6A28"/>
    <w:rsid w:val="00E07E32"/>
    <w:rsid w:val="00E25788"/>
    <w:rsid w:val="00E3137E"/>
    <w:rsid w:val="00E3145A"/>
    <w:rsid w:val="00E706D4"/>
    <w:rsid w:val="00E836FA"/>
    <w:rsid w:val="00E86FEA"/>
    <w:rsid w:val="00E87DC4"/>
    <w:rsid w:val="00EB4FB8"/>
    <w:rsid w:val="00EB5460"/>
    <w:rsid w:val="00EC50B8"/>
    <w:rsid w:val="00ED3305"/>
    <w:rsid w:val="00F02866"/>
    <w:rsid w:val="00F1557F"/>
    <w:rsid w:val="00F17486"/>
    <w:rsid w:val="00F17C9F"/>
    <w:rsid w:val="00F40313"/>
    <w:rsid w:val="00F408B3"/>
    <w:rsid w:val="00F53B7E"/>
    <w:rsid w:val="00F54AF6"/>
    <w:rsid w:val="00F648FF"/>
    <w:rsid w:val="00F6757C"/>
    <w:rsid w:val="00F873D5"/>
    <w:rsid w:val="00FA6F85"/>
    <w:rsid w:val="00FA6FBA"/>
    <w:rsid w:val="00FC0C09"/>
    <w:rsid w:val="00FC63DF"/>
    <w:rsid w:val="00FF0328"/>
    <w:rsid w:val="00FF6E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45EA8"/>
  <w15:docId w15:val="{694ED100-9378-46EE-9E30-798EC893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customStyle="1" w:styleId="Default">
    <w:name w:val="Default"/>
    <w:rsid w:val="00186F7D"/>
    <w:pPr>
      <w:autoSpaceDE w:val="0"/>
      <w:autoSpaceDN w:val="0"/>
      <w:adjustRightInd w:val="0"/>
    </w:pPr>
    <w:rPr>
      <w:color w:val="000000"/>
      <w:sz w:val="24"/>
      <w:szCs w:val="24"/>
    </w:rPr>
  </w:style>
  <w:style w:type="paragraph" w:styleId="ListParagraph">
    <w:name w:val="List Paragraph"/>
    <w:basedOn w:val="Normal"/>
    <w:uiPriority w:val="34"/>
    <w:qFormat/>
    <w:rsid w:val="00332518"/>
    <w:pPr>
      <w:ind w:left="720"/>
      <w:contextualSpacing/>
      <w:jc w:val="both"/>
    </w:pPr>
    <w:rPr>
      <w:rFonts w:asciiTheme="minorHAnsi" w:eastAsiaTheme="minorHAnsi" w:hAnsiTheme="minorHAnsi" w:cstheme="minorBidi"/>
      <w:szCs w:val="22"/>
    </w:rPr>
  </w:style>
  <w:style w:type="table" w:styleId="TableGrid">
    <w:name w:val="Table Grid"/>
    <w:basedOn w:val="TableNormal"/>
    <w:uiPriority w:val="39"/>
    <w:rsid w:val="00332518"/>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B21FC4"/>
    <w:rPr>
      <w:rFonts w:ascii="CG Times" w:hAnsi="CG Times"/>
      <w:spacing w:val="-2"/>
      <w:sz w:val="24"/>
    </w:rPr>
  </w:style>
  <w:style w:type="paragraph" w:customStyle="1" w:styleId="Bulit">
    <w:name w:val="Bulit"/>
    <w:basedOn w:val="Heading1"/>
    <w:autoRedefine/>
    <w:qFormat/>
    <w:rsid w:val="004B18F2"/>
    <w:pPr>
      <w:keepNext w:val="0"/>
      <w:numPr>
        <w:numId w:val="14"/>
      </w:numPr>
      <w:tabs>
        <w:tab w:val="clear" w:pos="-720"/>
      </w:tabs>
      <w:suppressAutoHyphens w:val="0"/>
      <w:spacing w:before="120" w:after="120" w:line="259" w:lineRule="auto"/>
      <w:jc w:val="both"/>
    </w:pPr>
    <w:rPr>
      <w:rFonts w:eastAsia="Calibri" w:cs="Calibri"/>
      <w:b w:val="0"/>
      <w:bCs/>
      <w:smallCaps w:val="0"/>
      <w:kern w:val="2"/>
      <w:sz w:val="22"/>
      <w:szCs w:val="40"/>
      <w:u w:color="000000"/>
      <w:bdr w:val="n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iljana.krejovic@mfin.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ge@ite.gov.rs" TargetMode="External"/><Relationship Id="rId5" Type="http://schemas.openxmlformats.org/officeDocument/2006/relationships/webSettings" Target="webSettings.xml"/><Relationship Id="rId10" Type="http://schemas.openxmlformats.org/officeDocument/2006/relationships/hyperlink" Target="mailto:nenad.antonijevic@ite.gov.rs" TargetMode="External"/><Relationship Id="rId4" Type="http://schemas.openxmlformats.org/officeDocument/2006/relationships/settings" Target="settings.xml"/><Relationship Id="rId9" Type="http://schemas.openxmlformats.org/officeDocument/2006/relationships/hyperlink" Target="mailto:ljiljana.dzuver@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58D29-3B38-4971-B935-E0DDA899F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7401</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Nenad Antonijević</cp:lastModifiedBy>
  <cp:revision>2</cp:revision>
  <cp:lastPrinted>2017-05-25T07:25:00Z</cp:lastPrinted>
  <dcterms:created xsi:type="dcterms:W3CDTF">2025-12-08T08:31:00Z</dcterms:created>
  <dcterms:modified xsi:type="dcterms:W3CDTF">2025-12-08T08:31:00Z</dcterms:modified>
</cp:coreProperties>
</file>