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4984C" w14:textId="77777777" w:rsidR="00C472E2" w:rsidRPr="00C472E2" w:rsidRDefault="00C472E2" w:rsidP="00C472E2">
      <w:pPr>
        <w:spacing w:after="0" w:line="240" w:lineRule="auto"/>
        <w:jc w:val="center"/>
        <w:rPr>
          <w:rFonts w:ascii="Times New Roman" w:eastAsia="Times New Roman" w:hAnsi="Times New Roman" w:cs="Times New Roman"/>
          <w:b/>
          <w:sz w:val="28"/>
          <w:szCs w:val="28"/>
        </w:rPr>
      </w:pPr>
      <w:r w:rsidRPr="00C472E2">
        <w:rPr>
          <w:rFonts w:ascii="Times New Roman" w:eastAsia="Times New Roman" w:hAnsi="Times New Roman" w:cs="Times New Roman"/>
          <w:b/>
          <w:sz w:val="28"/>
          <w:szCs w:val="28"/>
        </w:rPr>
        <w:t>TERMS OF REFERENCE</w:t>
      </w:r>
    </w:p>
    <w:p w14:paraId="14A3669E" w14:textId="77777777" w:rsidR="00C472E2" w:rsidRPr="00C472E2" w:rsidRDefault="00C472E2" w:rsidP="00C472E2">
      <w:pPr>
        <w:spacing w:after="0" w:line="240" w:lineRule="auto"/>
        <w:jc w:val="center"/>
        <w:rPr>
          <w:rFonts w:ascii="Times New Roman" w:eastAsia="Times New Roman" w:hAnsi="Times New Roman" w:cs="Times New Roman"/>
          <w:b/>
          <w:sz w:val="28"/>
          <w:szCs w:val="28"/>
        </w:rPr>
      </w:pPr>
      <w:r w:rsidRPr="00C472E2">
        <w:rPr>
          <w:rFonts w:ascii="Times New Roman" w:eastAsia="Times New Roman" w:hAnsi="Times New Roman" w:cs="Times New Roman"/>
          <w:b/>
          <w:sz w:val="28"/>
          <w:szCs w:val="28"/>
        </w:rPr>
        <w:t>for</w:t>
      </w:r>
    </w:p>
    <w:p w14:paraId="5BA47385" w14:textId="77777777" w:rsidR="00C472E2" w:rsidRPr="00C472E2" w:rsidRDefault="00C472E2" w:rsidP="00C472E2">
      <w:pPr>
        <w:spacing w:after="0" w:line="240" w:lineRule="auto"/>
        <w:jc w:val="center"/>
        <w:rPr>
          <w:rFonts w:ascii="Times New Roman" w:eastAsia="Times New Roman" w:hAnsi="Times New Roman" w:cs="Times New Roman"/>
          <w:b/>
          <w:sz w:val="28"/>
          <w:szCs w:val="28"/>
        </w:rPr>
      </w:pPr>
      <w:r w:rsidRPr="00C472E2">
        <w:rPr>
          <w:rFonts w:ascii="Times New Roman" w:eastAsia="Times New Roman" w:hAnsi="Times New Roman" w:cs="Times New Roman"/>
          <w:b/>
          <w:sz w:val="28"/>
          <w:szCs w:val="28"/>
        </w:rPr>
        <w:t>Data Center Expansion Support</w:t>
      </w:r>
    </w:p>
    <w:p w14:paraId="4EF09107" w14:textId="77777777" w:rsidR="00C472E2" w:rsidRDefault="00C472E2" w:rsidP="00C472E2"/>
    <w:p w14:paraId="7DF89FF7" w14:textId="210EC6F5" w:rsidR="00C472E2" w:rsidRDefault="00C472E2" w:rsidP="00A12DE7">
      <w:pPr>
        <w:pStyle w:val="Heading1"/>
      </w:pPr>
      <w:r>
        <w:t>Background Information</w:t>
      </w:r>
    </w:p>
    <w:p w14:paraId="0AB21229" w14:textId="77777777" w:rsidR="00B06486" w:rsidRPr="000631CD" w:rsidRDefault="00B06486" w:rsidP="00B06486">
      <w:pPr>
        <w:jc w:val="both"/>
        <w:rPr>
          <w:rFonts w:ascii="Times New Roman" w:hAnsi="Times New Roman" w:cs="Times New Roman"/>
        </w:rPr>
      </w:pPr>
      <w:r w:rsidRPr="000631CD">
        <w:rPr>
          <w:rFonts w:ascii="Times New Roman" w:hAnsi="Times New Roman" w:cs="Times New Roman"/>
        </w:rPr>
        <w:t xml:space="preserve">Digitalization is increasingly becoming the backbone of any and all functional restructuring in the public sector, an objective driver of change management and a precondition for transformative development. Going digital, being a horizontal measure, is also accelerating the attainment of Sustainable Development Goals (in further text: SDG). While it directly falls under SDG 16, e-Governance is contributing to building stronger institutions – effective, accountable and transparent – at all levels. </w:t>
      </w:r>
    </w:p>
    <w:p w14:paraId="6C6F5EC5" w14:textId="77777777" w:rsidR="00B06486" w:rsidRPr="000631CD" w:rsidRDefault="00B06486" w:rsidP="00B06486">
      <w:pPr>
        <w:jc w:val="both"/>
        <w:rPr>
          <w:rFonts w:ascii="Times New Roman" w:hAnsi="Times New Roman" w:cs="Times New Roman"/>
        </w:rPr>
      </w:pPr>
      <w:r w:rsidRPr="000631CD">
        <w:rPr>
          <w:rFonts w:ascii="Times New Roman" w:hAnsi="Times New Roman" w:cs="Times New Roman"/>
        </w:rPr>
        <w:t>The Government of Serbia (GoS), elected in June 2017, has prioritized the digital transformation of the national economy and state administration. The Prime Minister's Keynote Address at the Parliament stressed digitalization and education as the most important catalysts of innovations, competitiveness and growth for Serbia in the coming years. It also stressed the need for a rapid digitalization of public administration and provision of integrated, secure and citizen-focused electronic services. This political support materialized in August 2017, when the new Government formed the Office for IT and e-Government (OITeG) and appointed the Prime Minister as head of the Council for Innovative Entrepreneurship and Information Technologies (IT Council).</w:t>
      </w:r>
    </w:p>
    <w:p w14:paraId="0793AE65" w14:textId="77777777" w:rsidR="00B06486" w:rsidRPr="000631CD" w:rsidRDefault="00B06486" w:rsidP="00B06486">
      <w:pPr>
        <w:jc w:val="both"/>
        <w:rPr>
          <w:rFonts w:ascii="Times New Roman" w:hAnsi="Times New Roman" w:cs="Times New Roman"/>
        </w:rPr>
      </w:pPr>
      <w:r w:rsidRPr="000631CD">
        <w:rPr>
          <w:rFonts w:ascii="Times New Roman" w:hAnsi="Times New Roman" w:cs="Times New Roman"/>
        </w:rPr>
        <w:t>In addition, the Government of Serbia has requested assistance from the World Bank in supporting the reform efforts, through a loan. To this effect, the World Bank has initiated the Enabling Digital Governance Project (EDGE). The Project, launched back in April 2019, and restructured in June 2024, aims at contributing to development of the digitalization in Serbia, through implementation of the following components:</w:t>
      </w:r>
    </w:p>
    <w:p w14:paraId="479611DD" w14:textId="77777777" w:rsidR="00B06486" w:rsidRPr="000631CD" w:rsidRDefault="00B06486" w:rsidP="00B06486">
      <w:pPr>
        <w:jc w:val="both"/>
        <w:rPr>
          <w:rFonts w:ascii="Times New Roman" w:hAnsi="Times New Roman" w:cs="Times New Roman"/>
          <w:i/>
        </w:rPr>
      </w:pPr>
      <w:r w:rsidRPr="000631CD">
        <w:rPr>
          <w:rFonts w:ascii="Times New Roman" w:hAnsi="Times New Roman" w:cs="Times New Roman"/>
          <w:i/>
        </w:rPr>
        <w:t>Component 1: Foundations for Digital Service Delivery</w:t>
      </w:r>
    </w:p>
    <w:p w14:paraId="63381576" w14:textId="77777777" w:rsidR="00B06486" w:rsidRPr="000631CD" w:rsidRDefault="00B06486" w:rsidP="00B06486">
      <w:pPr>
        <w:jc w:val="both"/>
        <w:rPr>
          <w:rFonts w:ascii="Times New Roman" w:hAnsi="Times New Roman" w:cs="Times New Roman"/>
        </w:rPr>
      </w:pPr>
      <w:r w:rsidRPr="000631CD">
        <w:rPr>
          <w:rFonts w:ascii="Times New Roman" w:hAnsi="Times New Roman" w:cs="Times New Roman"/>
        </w:rPr>
        <w:t xml:space="preserve">The objective of this component is to establish the necessary cross-cutting foundations to support the use of ICTs in the provision of public services to citizens, and businesses, including inter alia, regulations, standards, and digital infrastructure. </w:t>
      </w:r>
    </w:p>
    <w:p w14:paraId="799C4953" w14:textId="77777777" w:rsidR="00B06486" w:rsidRPr="000631CD" w:rsidRDefault="00B06486" w:rsidP="00B06486">
      <w:pPr>
        <w:jc w:val="both"/>
        <w:rPr>
          <w:rFonts w:ascii="Times New Roman" w:hAnsi="Times New Roman" w:cs="Times New Roman"/>
        </w:rPr>
      </w:pPr>
      <w:r w:rsidRPr="000631CD">
        <w:rPr>
          <w:rFonts w:ascii="Times New Roman" w:hAnsi="Times New Roman" w:cs="Times New Roman"/>
          <w:i/>
        </w:rPr>
        <w:t>Component 2. Citizen-Centric Digital Services</w:t>
      </w:r>
    </w:p>
    <w:p w14:paraId="7BB5DFD9" w14:textId="77777777" w:rsidR="00B06486" w:rsidRPr="000631CD" w:rsidRDefault="00B06486" w:rsidP="00B06486">
      <w:pPr>
        <w:jc w:val="both"/>
        <w:rPr>
          <w:rFonts w:ascii="Times New Roman" w:hAnsi="Times New Roman" w:cs="Times New Roman"/>
        </w:rPr>
      </w:pPr>
      <w:r w:rsidRPr="000631CD">
        <w:rPr>
          <w:rFonts w:ascii="Times New Roman" w:hAnsi="Times New Roman" w:cs="Times New Roman"/>
        </w:rPr>
        <w:t>The objective of this component is to support the three dimensions of project objectives—access, quality, and efficiency of e-services: (a) integrate change management and citizen engagement activities into this digital transformation process; (b) strengthen the institutional capacity of the OITeG and other key stakeholders for leading and coordinating intergovernmental activities in an agile, user-centric way; and (c) streamline the implementation arrangements through a partnership between OITeG and Public Policy Secretariat (PPS) of the Prime Minister’s office.</w:t>
      </w:r>
    </w:p>
    <w:p w14:paraId="0B597ADA" w14:textId="77777777" w:rsidR="00B06486" w:rsidRPr="000631CD" w:rsidRDefault="00B06486" w:rsidP="00B06486">
      <w:pPr>
        <w:jc w:val="both"/>
        <w:rPr>
          <w:rFonts w:ascii="Times New Roman" w:hAnsi="Times New Roman" w:cs="Times New Roman"/>
          <w:i/>
        </w:rPr>
      </w:pPr>
      <w:r w:rsidRPr="000631CD">
        <w:rPr>
          <w:rFonts w:ascii="Times New Roman" w:hAnsi="Times New Roman" w:cs="Times New Roman"/>
          <w:i/>
        </w:rPr>
        <w:t>Component 3. Digital Skills Development and Project Management</w:t>
      </w:r>
    </w:p>
    <w:p w14:paraId="02CAA9C8" w14:textId="77777777" w:rsidR="00B06486" w:rsidRPr="000631CD" w:rsidRDefault="00B06486" w:rsidP="00B06486">
      <w:pPr>
        <w:jc w:val="both"/>
        <w:rPr>
          <w:rFonts w:ascii="Times New Roman" w:hAnsi="Times New Roman" w:cs="Times New Roman"/>
        </w:rPr>
      </w:pPr>
      <w:r w:rsidRPr="000631CD">
        <w:rPr>
          <w:rFonts w:ascii="Times New Roman" w:hAnsi="Times New Roman" w:cs="Times New Roman"/>
        </w:rPr>
        <w:t>This component focuses on the integration of change management, communication, and citizen feedback into Component 2.</w:t>
      </w:r>
    </w:p>
    <w:p w14:paraId="33E0140E" w14:textId="77777777" w:rsidR="00B06486" w:rsidRPr="000631CD" w:rsidRDefault="00B06486" w:rsidP="00B06486">
      <w:pPr>
        <w:jc w:val="both"/>
        <w:rPr>
          <w:rFonts w:ascii="Times New Roman" w:hAnsi="Times New Roman" w:cs="Times New Roman"/>
        </w:rPr>
      </w:pPr>
      <w:r w:rsidRPr="000631CD">
        <w:rPr>
          <w:rFonts w:ascii="Times New Roman" w:hAnsi="Times New Roman" w:cs="Times New Roman"/>
        </w:rPr>
        <w:t>For the purposes of effectively managing and coordinating EDGE and future Projects with International Financial Institutions (IFI) financing, the Project Implementation Unit (PIU) has been founded at the OITeG.</w:t>
      </w:r>
    </w:p>
    <w:p w14:paraId="25BD24E8" w14:textId="77777777" w:rsidR="00C472E2" w:rsidRPr="00B06486" w:rsidRDefault="00C472E2" w:rsidP="00B06486">
      <w:pPr>
        <w:jc w:val="both"/>
        <w:rPr>
          <w:rFonts w:ascii="Times New Roman" w:hAnsi="Times New Roman" w:cs="Times New Roman"/>
        </w:rPr>
      </w:pPr>
      <w:r w:rsidRPr="00B06486">
        <w:rPr>
          <w:rFonts w:ascii="Times New Roman" w:hAnsi="Times New Roman" w:cs="Times New Roman"/>
        </w:rPr>
        <w:lastRenderedPageBreak/>
        <w:t>Within this EDGE program context, the Government now seeks specialized support to secure continuity of certification, plan capacity expansion, and modernize existing facilities in line with EU-aligned standards.</w:t>
      </w:r>
    </w:p>
    <w:p w14:paraId="643DA994" w14:textId="77777777" w:rsidR="00C472E2" w:rsidRPr="00B06486" w:rsidRDefault="00C472E2" w:rsidP="00B06486">
      <w:pPr>
        <w:jc w:val="both"/>
        <w:rPr>
          <w:rFonts w:ascii="Times New Roman" w:hAnsi="Times New Roman" w:cs="Times New Roman"/>
        </w:rPr>
      </w:pPr>
      <w:r w:rsidRPr="00B06486">
        <w:rPr>
          <w:rFonts w:ascii="Times New Roman" w:hAnsi="Times New Roman" w:cs="Times New Roman"/>
        </w:rPr>
        <w:t>Serbia's digital transformation relies on robust, sovereign data-center capacity to host critical public­ sector workloads. The Government Data Center in Kragujevac has been a flagship success­ independently certified to EN 50600 Class 4 (highest availability class) in 2023, a distinction noted as the first of its kind in Eastern/Southeastern Europe and underscoring the facility's reliability and operational maturity.</w:t>
      </w:r>
    </w:p>
    <w:p w14:paraId="2C9F6FAE" w14:textId="77777777" w:rsidR="00C472E2" w:rsidRPr="00B06486" w:rsidRDefault="00C472E2" w:rsidP="00B06486">
      <w:pPr>
        <w:jc w:val="both"/>
        <w:rPr>
          <w:rFonts w:ascii="Times New Roman" w:hAnsi="Times New Roman" w:cs="Times New Roman"/>
        </w:rPr>
      </w:pPr>
      <w:r w:rsidRPr="00B06486">
        <w:rPr>
          <w:rFonts w:ascii="Times New Roman" w:hAnsi="Times New Roman" w:cs="Times New Roman"/>
        </w:rPr>
        <w:t>As part of normal lifecycle management, the current EN 50600 certificate reaches expiry in March 2026, making continuity of certification essential to avoid any gap in verified compliance and to maintain confidence for sensitive government workloads.</w:t>
      </w:r>
    </w:p>
    <w:p w14:paraId="7B8C22AD" w14:textId="77777777" w:rsidR="00C472E2" w:rsidRPr="00B06486" w:rsidRDefault="00C472E2" w:rsidP="00B06486">
      <w:pPr>
        <w:jc w:val="both"/>
        <w:rPr>
          <w:rFonts w:ascii="Times New Roman" w:hAnsi="Times New Roman" w:cs="Times New Roman"/>
        </w:rPr>
      </w:pPr>
      <w:r w:rsidRPr="00B06486">
        <w:rPr>
          <w:rFonts w:ascii="Times New Roman" w:hAnsi="Times New Roman" w:cs="Times New Roman"/>
        </w:rPr>
        <w:t>Looking ahead, sustained growth in e-government services and compute demand raises strategic questions about geographic capacity and resilience. In addition to maintaining certification at Kragujevac, the Government is assessing options to expand beyond Kragujevac, including potential sites in cities such as Nis, Novi Sad, or others and to evaluate refurbishment/modernization of the TKC facility in Belgrade to determine its suitability for hosting workloads alongside the national platform.</w:t>
      </w:r>
    </w:p>
    <w:p w14:paraId="111D4B18" w14:textId="643FD8F7" w:rsidR="00C472E2" w:rsidRDefault="00C472E2" w:rsidP="00A12DE7">
      <w:pPr>
        <w:pStyle w:val="Heading1"/>
      </w:pPr>
      <w:r>
        <w:t>Objectives</w:t>
      </w:r>
    </w:p>
    <w:p w14:paraId="61FCDF72" w14:textId="0BC48D85" w:rsidR="00C472E2" w:rsidRPr="00A12DE7" w:rsidRDefault="00C472E2" w:rsidP="00A12DE7">
      <w:pPr>
        <w:jc w:val="both"/>
        <w:rPr>
          <w:rFonts w:ascii="Times New Roman" w:hAnsi="Times New Roman" w:cs="Times New Roman"/>
        </w:rPr>
      </w:pPr>
      <w:r w:rsidRPr="00A12DE7">
        <w:rPr>
          <w:rFonts w:ascii="Times New Roman" w:hAnsi="Times New Roman" w:cs="Times New Roman"/>
        </w:rPr>
        <w:t>Select a multidisciplinary consultant to (I) secure EN 50600 recertification for the Government Data Center in Kragujevac before the March 2026 expiry, (2) deliver a decision-ready data center expansion strategy with a recommended new site in Serbia, and (3) provide a modernization roadmap for the TKC facility in Belgrade to increase government data center capacity and extend asset life.</w:t>
      </w:r>
    </w:p>
    <w:p w14:paraId="3D14FA1F" w14:textId="247FDF2B" w:rsidR="00C472E2" w:rsidRDefault="00C472E2" w:rsidP="00A12DE7">
      <w:pPr>
        <w:pStyle w:val="Heading1"/>
      </w:pPr>
      <w:r>
        <w:t>Scope and Phases</w:t>
      </w:r>
    </w:p>
    <w:p w14:paraId="68CC4BB4" w14:textId="5882064D" w:rsidR="00C472E2" w:rsidRDefault="00C472E2" w:rsidP="00E86ACA">
      <w:pPr>
        <w:pStyle w:val="Heading2"/>
      </w:pPr>
      <w:r>
        <w:t>Re-Certification (EN50600) - Support the renewal of the Data Center in Kragujevac certification before the March 2026 deadline to ensure continued compliance. This will include:</w:t>
      </w:r>
    </w:p>
    <w:p w14:paraId="00812D6F" w14:textId="5868E6AD" w:rsidR="00C472E2" w:rsidRDefault="00C472E2" w:rsidP="00A12DE7">
      <w:pPr>
        <w:pStyle w:val="ListParagraph"/>
      </w:pPr>
      <w:r>
        <w:t>Managing the re-certification process</w:t>
      </w:r>
    </w:p>
    <w:p w14:paraId="76B8A428" w14:textId="343B2287" w:rsidR="00C472E2" w:rsidRDefault="00C472E2" w:rsidP="00A12DE7">
      <w:pPr>
        <w:pStyle w:val="ListParagraph"/>
      </w:pPr>
      <w:r>
        <w:t>Preparing and reviewing required compliance documentation</w:t>
      </w:r>
    </w:p>
    <w:p w14:paraId="247E9283" w14:textId="46B2D7FC" w:rsidR="00C472E2" w:rsidRDefault="00C472E2" w:rsidP="00A12DE7">
      <w:pPr>
        <w:pStyle w:val="ListParagraph"/>
      </w:pPr>
      <w:r>
        <w:t>Coordinating with certification bodies and facilitating timely finalization of the recertification process</w:t>
      </w:r>
    </w:p>
    <w:p w14:paraId="26C773E6" w14:textId="6AF5336E" w:rsidR="00C472E2" w:rsidRDefault="00C472E2" w:rsidP="00E86ACA">
      <w:pPr>
        <w:pStyle w:val="Heading2"/>
      </w:pPr>
      <w:r>
        <w:t xml:space="preserve">Data Center Expansion Strategy </w:t>
      </w:r>
      <w:r w:rsidR="00A12DE7">
        <w:t>–</w:t>
      </w:r>
      <w:r>
        <w:t xml:space="preserve"> Provide a structured approach for selecting a potential new site location for expansion of the governmental Data Center in Kragujevac (e.g., Ni, Novi Sad, or other). This will include:</w:t>
      </w:r>
    </w:p>
    <w:p w14:paraId="4CB5FCE5" w14:textId="45AB0948" w:rsidR="00C472E2" w:rsidRDefault="00C472E2" w:rsidP="00A12DE7">
      <w:pPr>
        <w:pStyle w:val="ListParagraph"/>
      </w:pPr>
      <w:r>
        <w:t>Reviewing available land plots</w:t>
      </w:r>
    </w:p>
    <w:p w14:paraId="7CB3BBD3" w14:textId="2551CBA8" w:rsidR="00C472E2" w:rsidRDefault="00C472E2" w:rsidP="00A12DE7">
      <w:pPr>
        <w:pStyle w:val="ListParagraph"/>
      </w:pPr>
      <w:r>
        <w:t>Shortlisting viable sites, validate and evaluate across the critical parameters including risk analyses and mitigation assessment</w:t>
      </w:r>
    </w:p>
    <w:p w14:paraId="27B020A7" w14:textId="3CEC47E1" w:rsidR="00C472E2" w:rsidRDefault="00C472E2" w:rsidP="00A12DE7">
      <w:pPr>
        <w:pStyle w:val="ListParagraph"/>
      </w:pPr>
      <w:r>
        <w:t>Considering infrastructure and energy availability</w:t>
      </w:r>
    </w:p>
    <w:p w14:paraId="2AE169F5" w14:textId="09A77F53" w:rsidR="00C472E2" w:rsidRDefault="00A12DE7" w:rsidP="00A12DE7">
      <w:pPr>
        <w:pStyle w:val="ListParagraph"/>
      </w:pPr>
      <w:r>
        <w:t>Analyze</w:t>
      </w:r>
      <w:r w:rsidR="00C472E2">
        <w:t xml:space="preserve"> potential technology options (containers, brick &amp; </w:t>
      </w:r>
      <w:r>
        <w:t>mortar</w:t>
      </w:r>
      <w:r w:rsidR="00C472E2">
        <w:t>) and give recommendation</w:t>
      </w:r>
    </w:p>
    <w:p w14:paraId="24AA93D4" w14:textId="13D8424E" w:rsidR="00C472E2" w:rsidRDefault="00C472E2" w:rsidP="00A12DE7">
      <w:pPr>
        <w:pStyle w:val="ListParagraph"/>
      </w:pPr>
      <w:r>
        <w:t>Comparing options and providing recommendations, including high level timeline and budget estimation</w:t>
      </w:r>
    </w:p>
    <w:p w14:paraId="3EF5EBDB" w14:textId="06D52C37" w:rsidR="00C472E2" w:rsidRDefault="00C472E2" w:rsidP="00E86ACA">
      <w:pPr>
        <w:pStyle w:val="Heading2"/>
      </w:pPr>
      <w:r>
        <w:lastRenderedPageBreak/>
        <w:t xml:space="preserve">TKC DC Expansion &amp; Modernization Options </w:t>
      </w:r>
      <w:r w:rsidR="00A12DE7">
        <w:t xml:space="preserve">– </w:t>
      </w:r>
      <w:r>
        <w:t>Evaluate opportunities to refurbish or upgrade the TKC into DC facility (part of the floors 5, 7, 8) in order to accommodate future clients, increase capacity, and extend the site's operational lifecycle. This will include:</w:t>
      </w:r>
    </w:p>
    <w:p w14:paraId="7B66011A" w14:textId="1E058E14" w:rsidR="00C472E2" w:rsidRDefault="00C472E2" w:rsidP="00A12DE7">
      <w:pPr>
        <w:pStyle w:val="ListParagraph"/>
      </w:pPr>
      <w:r>
        <w:t>A feasibility assessment covering power availability, reliability, security, and other factors required to meet prospective tenant standards</w:t>
      </w:r>
    </w:p>
    <w:p w14:paraId="13454CC4" w14:textId="64641CB5" w:rsidR="00C472E2" w:rsidRDefault="00C472E2" w:rsidP="00A12DE7">
      <w:pPr>
        <w:pStyle w:val="ListParagraph"/>
      </w:pPr>
      <w:r>
        <w:t>Development of high-level technical design scenarios, including checking the feasibility of potential redundancy configurations and security zone concepts</w:t>
      </w:r>
    </w:p>
    <w:p w14:paraId="649EBAAA" w14:textId="0B1259C9" w:rsidR="00C472E2" w:rsidRDefault="00C472E2" w:rsidP="00A12DE7">
      <w:pPr>
        <w:pStyle w:val="ListParagraph"/>
      </w:pPr>
      <w:r>
        <w:t>Preparation of a high-level timeline and cost estimate for implementation</w:t>
      </w:r>
    </w:p>
    <w:p w14:paraId="23365800" w14:textId="1BE6F0D8" w:rsidR="00C472E2" w:rsidRDefault="00C472E2" w:rsidP="00A12DE7">
      <w:pPr>
        <w:pStyle w:val="Heading1"/>
      </w:pPr>
      <w:r>
        <w:t>Timeframe and duration</w:t>
      </w:r>
    </w:p>
    <w:p w14:paraId="3F6F87CB" w14:textId="4FF84CFC" w:rsidR="00C472E2" w:rsidRPr="001D131C" w:rsidRDefault="00C472E2" w:rsidP="001D131C">
      <w:pPr>
        <w:jc w:val="both"/>
        <w:rPr>
          <w:rFonts w:ascii="Times New Roman" w:hAnsi="Times New Roman" w:cs="Times New Roman"/>
        </w:rPr>
      </w:pPr>
      <w:r w:rsidRPr="001D131C">
        <w:rPr>
          <w:rFonts w:ascii="Times New Roman" w:hAnsi="Times New Roman" w:cs="Times New Roman"/>
        </w:rPr>
        <w:t>The Consultant shall provide services under lump sum Contract paid upon acceptance of deliverables. The Consultant shall perform the Services over 4 (four) months, approximately.</w:t>
      </w:r>
    </w:p>
    <w:p w14:paraId="34B94532" w14:textId="5FC01059" w:rsidR="00C472E2" w:rsidRDefault="00C472E2" w:rsidP="001D131C">
      <w:pPr>
        <w:pStyle w:val="Heading1"/>
      </w:pPr>
      <w:r>
        <w:t>Deliverables</w:t>
      </w:r>
    </w:p>
    <w:tbl>
      <w:tblPr>
        <w:tblStyle w:val="TableGrid"/>
        <w:tblW w:w="0" w:type="auto"/>
        <w:tblLook w:val="04A0" w:firstRow="1" w:lastRow="0" w:firstColumn="1" w:lastColumn="0" w:noHBand="0" w:noVBand="1"/>
      </w:tblPr>
      <w:tblGrid>
        <w:gridCol w:w="421"/>
        <w:gridCol w:w="7229"/>
        <w:gridCol w:w="1559"/>
      </w:tblGrid>
      <w:tr w:rsidR="001D131C" w14:paraId="00A4EEB6" w14:textId="77777777" w:rsidTr="005A666A">
        <w:tc>
          <w:tcPr>
            <w:tcW w:w="421" w:type="dxa"/>
          </w:tcPr>
          <w:p w14:paraId="114A1040" w14:textId="696F8D92" w:rsidR="001D131C" w:rsidRPr="001D131C" w:rsidRDefault="001D131C" w:rsidP="00C472E2">
            <w:pPr>
              <w:rPr>
                <w:rFonts w:ascii="Times New Roman" w:hAnsi="Times New Roman" w:cs="Times New Roman"/>
                <w:b/>
                <w:bCs/>
              </w:rPr>
            </w:pPr>
            <w:r w:rsidRPr="001D131C">
              <w:rPr>
                <w:rFonts w:ascii="Times New Roman" w:hAnsi="Times New Roman" w:cs="Times New Roman"/>
                <w:b/>
                <w:bCs/>
              </w:rPr>
              <w:t>#</w:t>
            </w:r>
          </w:p>
        </w:tc>
        <w:tc>
          <w:tcPr>
            <w:tcW w:w="7229" w:type="dxa"/>
          </w:tcPr>
          <w:p w14:paraId="615E16C1" w14:textId="501C138D" w:rsidR="001D131C" w:rsidRPr="001D131C" w:rsidRDefault="001D131C" w:rsidP="00C472E2">
            <w:pPr>
              <w:rPr>
                <w:rFonts w:ascii="Times New Roman" w:hAnsi="Times New Roman" w:cs="Times New Roman"/>
                <w:b/>
                <w:bCs/>
              </w:rPr>
            </w:pPr>
            <w:r w:rsidRPr="001D131C">
              <w:rPr>
                <w:rFonts w:ascii="Times New Roman" w:hAnsi="Times New Roman" w:cs="Times New Roman"/>
                <w:b/>
                <w:bCs/>
              </w:rPr>
              <w:t>Description</w:t>
            </w:r>
          </w:p>
        </w:tc>
        <w:tc>
          <w:tcPr>
            <w:tcW w:w="1559" w:type="dxa"/>
          </w:tcPr>
          <w:p w14:paraId="719BCA18" w14:textId="6F1145BF" w:rsidR="001D131C" w:rsidRPr="001D131C" w:rsidRDefault="001D131C" w:rsidP="00C472E2">
            <w:pPr>
              <w:rPr>
                <w:rFonts w:ascii="Times New Roman" w:hAnsi="Times New Roman" w:cs="Times New Roman"/>
                <w:b/>
                <w:bCs/>
              </w:rPr>
            </w:pPr>
            <w:r w:rsidRPr="001D131C">
              <w:rPr>
                <w:rFonts w:ascii="Times New Roman" w:hAnsi="Times New Roman" w:cs="Times New Roman"/>
                <w:b/>
                <w:bCs/>
              </w:rPr>
              <w:t>Deadline</w:t>
            </w:r>
          </w:p>
        </w:tc>
      </w:tr>
      <w:tr w:rsidR="001D131C" w:rsidRPr="00DE3058" w14:paraId="44C8C870" w14:textId="77777777" w:rsidTr="005A666A">
        <w:tc>
          <w:tcPr>
            <w:tcW w:w="421" w:type="dxa"/>
          </w:tcPr>
          <w:p w14:paraId="5266767C" w14:textId="15C270ED" w:rsidR="001D131C" w:rsidRPr="00DE3058" w:rsidRDefault="001D131C" w:rsidP="00C472E2">
            <w:pPr>
              <w:rPr>
                <w:rFonts w:ascii="Times New Roman" w:hAnsi="Times New Roman" w:cs="Times New Roman"/>
              </w:rPr>
            </w:pPr>
            <w:r w:rsidRPr="00DE3058">
              <w:rPr>
                <w:rFonts w:ascii="Times New Roman" w:hAnsi="Times New Roman" w:cs="Times New Roman"/>
              </w:rPr>
              <w:t>1</w:t>
            </w:r>
          </w:p>
        </w:tc>
        <w:tc>
          <w:tcPr>
            <w:tcW w:w="7229" w:type="dxa"/>
          </w:tcPr>
          <w:p w14:paraId="197F24D6" w14:textId="77777777" w:rsidR="007C1BA7" w:rsidRPr="00DE3058" w:rsidRDefault="007C1BA7" w:rsidP="00C472E2">
            <w:pPr>
              <w:rPr>
                <w:rFonts w:ascii="Times New Roman" w:hAnsi="Times New Roman" w:cs="Times New Roman"/>
                <w:b/>
                <w:bCs/>
              </w:rPr>
            </w:pPr>
            <w:r w:rsidRPr="00DE3058">
              <w:rPr>
                <w:rFonts w:ascii="Times New Roman" w:hAnsi="Times New Roman" w:cs="Times New Roman"/>
                <w:b/>
                <w:bCs/>
              </w:rPr>
              <w:t xml:space="preserve">Expansion feasibility &amp; site shortlist </w:t>
            </w:r>
          </w:p>
          <w:p w14:paraId="3FDC5FFE" w14:textId="678D6CD3" w:rsidR="001D131C" w:rsidRPr="00DE3058" w:rsidRDefault="007C1BA7" w:rsidP="00C472E2">
            <w:pPr>
              <w:rPr>
                <w:rFonts w:ascii="Times New Roman" w:hAnsi="Times New Roman" w:cs="Times New Roman"/>
              </w:rPr>
            </w:pPr>
            <w:r w:rsidRPr="00DE3058">
              <w:rPr>
                <w:rFonts w:ascii="Times New Roman" w:hAnsi="Times New Roman" w:cs="Times New Roman"/>
              </w:rPr>
              <w:t>Concise feasibility study with a shortlist of viable locations in Serbia (e.g., Ni, Novi Sad, others) and key constraints/risks</w:t>
            </w:r>
          </w:p>
        </w:tc>
        <w:tc>
          <w:tcPr>
            <w:tcW w:w="1559" w:type="dxa"/>
          </w:tcPr>
          <w:p w14:paraId="045B7CA0" w14:textId="64F16DD2" w:rsidR="001D131C" w:rsidRPr="00DE3058" w:rsidRDefault="007C1BA7" w:rsidP="00C472E2">
            <w:pPr>
              <w:rPr>
                <w:rFonts w:ascii="Times New Roman" w:hAnsi="Times New Roman" w:cs="Times New Roman"/>
                <w:sz w:val="20"/>
                <w:szCs w:val="20"/>
              </w:rPr>
            </w:pPr>
            <w:r w:rsidRPr="00DE3058">
              <w:rPr>
                <w:rFonts w:ascii="Times New Roman" w:hAnsi="Times New Roman" w:cs="Times New Roman"/>
                <w:sz w:val="20"/>
                <w:szCs w:val="20"/>
              </w:rPr>
              <w:t>4 (four) weeks after contract signing</w:t>
            </w:r>
          </w:p>
        </w:tc>
      </w:tr>
      <w:tr w:rsidR="001D131C" w14:paraId="1B875E7D" w14:textId="77777777" w:rsidTr="005A666A">
        <w:tc>
          <w:tcPr>
            <w:tcW w:w="421" w:type="dxa"/>
          </w:tcPr>
          <w:p w14:paraId="65BE4102" w14:textId="0B5E47C7" w:rsidR="001D131C" w:rsidRPr="001D131C" w:rsidRDefault="001D131C" w:rsidP="00C472E2">
            <w:pPr>
              <w:rPr>
                <w:rFonts w:ascii="Times New Roman" w:hAnsi="Times New Roman" w:cs="Times New Roman"/>
              </w:rPr>
            </w:pPr>
            <w:r>
              <w:rPr>
                <w:rFonts w:ascii="Times New Roman" w:hAnsi="Times New Roman" w:cs="Times New Roman"/>
              </w:rPr>
              <w:t>2</w:t>
            </w:r>
          </w:p>
        </w:tc>
        <w:tc>
          <w:tcPr>
            <w:tcW w:w="7229" w:type="dxa"/>
          </w:tcPr>
          <w:p w14:paraId="1F38B9B1" w14:textId="77777777" w:rsidR="005A666A" w:rsidRDefault="005A666A" w:rsidP="00C472E2">
            <w:pPr>
              <w:rPr>
                <w:rFonts w:ascii="Times New Roman" w:hAnsi="Times New Roman" w:cs="Times New Roman"/>
                <w:b/>
                <w:bCs/>
              </w:rPr>
            </w:pPr>
            <w:r w:rsidRPr="005A666A">
              <w:rPr>
                <w:rFonts w:ascii="Times New Roman" w:hAnsi="Times New Roman" w:cs="Times New Roman"/>
                <w:b/>
                <w:bCs/>
              </w:rPr>
              <w:t xml:space="preserve">EN 50600 Re-certification Evidence Pack submitted </w:t>
            </w:r>
          </w:p>
          <w:p w14:paraId="4ED0DF23" w14:textId="3973F222" w:rsidR="001D131C" w:rsidRPr="005A666A" w:rsidRDefault="005A666A" w:rsidP="00C472E2">
            <w:pPr>
              <w:rPr>
                <w:rFonts w:ascii="Times New Roman" w:hAnsi="Times New Roman" w:cs="Times New Roman"/>
              </w:rPr>
            </w:pPr>
            <w:r w:rsidRPr="005A666A">
              <w:rPr>
                <w:rFonts w:ascii="Times New Roman" w:hAnsi="Times New Roman" w:cs="Times New Roman"/>
              </w:rPr>
              <w:t>Complete, up-to-date documentation prepared and submitted to the certification body</w:t>
            </w:r>
          </w:p>
        </w:tc>
        <w:tc>
          <w:tcPr>
            <w:tcW w:w="1559" w:type="dxa"/>
          </w:tcPr>
          <w:p w14:paraId="3E0D33C2" w14:textId="681677EA" w:rsidR="001D131C" w:rsidRPr="005A666A" w:rsidRDefault="005A666A" w:rsidP="00C472E2">
            <w:pPr>
              <w:rPr>
                <w:rFonts w:ascii="Times New Roman" w:hAnsi="Times New Roman" w:cs="Times New Roman"/>
                <w:sz w:val="20"/>
                <w:szCs w:val="20"/>
              </w:rPr>
            </w:pPr>
            <w:r w:rsidRPr="005A666A">
              <w:rPr>
                <w:rFonts w:ascii="Times New Roman" w:hAnsi="Times New Roman" w:cs="Times New Roman"/>
                <w:sz w:val="20"/>
                <w:szCs w:val="20"/>
              </w:rPr>
              <w:t>4 (four) weeks after contract signing</w:t>
            </w:r>
          </w:p>
        </w:tc>
      </w:tr>
      <w:tr w:rsidR="001D131C" w14:paraId="11452A40" w14:textId="77777777" w:rsidTr="005A666A">
        <w:tc>
          <w:tcPr>
            <w:tcW w:w="421" w:type="dxa"/>
          </w:tcPr>
          <w:p w14:paraId="3340A00D" w14:textId="3AF45BC9" w:rsidR="001D131C" w:rsidRPr="001D131C" w:rsidRDefault="001D131C" w:rsidP="00C472E2">
            <w:pPr>
              <w:rPr>
                <w:rFonts w:ascii="Times New Roman" w:hAnsi="Times New Roman" w:cs="Times New Roman"/>
              </w:rPr>
            </w:pPr>
            <w:r>
              <w:rPr>
                <w:rFonts w:ascii="Times New Roman" w:hAnsi="Times New Roman" w:cs="Times New Roman"/>
              </w:rPr>
              <w:t>3</w:t>
            </w:r>
          </w:p>
        </w:tc>
        <w:tc>
          <w:tcPr>
            <w:tcW w:w="7229" w:type="dxa"/>
          </w:tcPr>
          <w:p w14:paraId="5FD07C18" w14:textId="77777777" w:rsidR="005A666A" w:rsidRPr="005A666A" w:rsidRDefault="005A666A" w:rsidP="00C472E2">
            <w:pPr>
              <w:rPr>
                <w:rFonts w:ascii="Times New Roman" w:hAnsi="Times New Roman" w:cs="Times New Roman"/>
                <w:b/>
                <w:bCs/>
              </w:rPr>
            </w:pPr>
            <w:r w:rsidRPr="005A666A">
              <w:rPr>
                <w:rFonts w:ascii="Times New Roman" w:hAnsi="Times New Roman" w:cs="Times New Roman"/>
                <w:b/>
                <w:bCs/>
              </w:rPr>
              <w:t xml:space="preserve">TKC modernization feasibility &amp; roadmap </w:t>
            </w:r>
          </w:p>
          <w:p w14:paraId="5148E6DE" w14:textId="34692658" w:rsidR="001D131C" w:rsidRPr="005A666A" w:rsidRDefault="005A666A" w:rsidP="00C472E2">
            <w:pPr>
              <w:rPr>
                <w:rFonts w:ascii="Times New Roman" w:hAnsi="Times New Roman" w:cs="Times New Roman"/>
              </w:rPr>
            </w:pPr>
            <w:r w:rsidRPr="005A666A">
              <w:rPr>
                <w:rFonts w:ascii="Times New Roman" w:hAnsi="Times New Roman" w:cs="Times New Roman"/>
              </w:rPr>
              <w:t>Focused feasibility assessment for TKC (selected areas of floors 5, 7, 8) with options and a high-level implementation plan/capex range.</w:t>
            </w:r>
          </w:p>
        </w:tc>
        <w:tc>
          <w:tcPr>
            <w:tcW w:w="1559" w:type="dxa"/>
          </w:tcPr>
          <w:p w14:paraId="74CDABCF" w14:textId="39F38801" w:rsidR="001D131C" w:rsidRPr="005A666A" w:rsidRDefault="005A666A" w:rsidP="00C472E2">
            <w:pPr>
              <w:rPr>
                <w:rFonts w:ascii="Times New Roman" w:hAnsi="Times New Roman" w:cs="Times New Roman"/>
                <w:sz w:val="20"/>
                <w:szCs w:val="20"/>
              </w:rPr>
            </w:pPr>
            <w:r w:rsidRPr="005A666A">
              <w:rPr>
                <w:rFonts w:ascii="Times New Roman" w:hAnsi="Times New Roman" w:cs="Times New Roman"/>
                <w:sz w:val="20"/>
                <w:szCs w:val="20"/>
              </w:rPr>
              <w:t>6 (six) weeks after contract signing</w:t>
            </w:r>
          </w:p>
        </w:tc>
      </w:tr>
      <w:tr w:rsidR="001D131C" w14:paraId="7C1A66C5" w14:textId="77777777" w:rsidTr="005A666A">
        <w:tc>
          <w:tcPr>
            <w:tcW w:w="421" w:type="dxa"/>
          </w:tcPr>
          <w:p w14:paraId="25728B14" w14:textId="4B71F43A" w:rsidR="001D131C" w:rsidRPr="001D131C" w:rsidRDefault="001D131C" w:rsidP="00C472E2">
            <w:pPr>
              <w:rPr>
                <w:rFonts w:ascii="Times New Roman" w:hAnsi="Times New Roman" w:cs="Times New Roman"/>
              </w:rPr>
            </w:pPr>
            <w:r>
              <w:rPr>
                <w:rFonts w:ascii="Times New Roman" w:hAnsi="Times New Roman" w:cs="Times New Roman"/>
              </w:rPr>
              <w:t>4</w:t>
            </w:r>
          </w:p>
        </w:tc>
        <w:tc>
          <w:tcPr>
            <w:tcW w:w="7229" w:type="dxa"/>
          </w:tcPr>
          <w:p w14:paraId="74D17EB1" w14:textId="77777777" w:rsidR="005A666A" w:rsidRPr="005A666A" w:rsidRDefault="005A666A" w:rsidP="00C472E2">
            <w:pPr>
              <w:rPr>
                <w:rFonts w:ascii="Times New Roman" w:hAnsi="Times New Roman" w:cs="Times New Roman"/>
                <w:b/>
                <w:bCs/>
              </w:rPr>
            </w:pPr>
            <w:r w:rsidRPr="005A666A">
              <w:rPr>
                <w:rFonts w:ascii="Times New Roman" w:hAnsi="Times New Roman" w:cs="Times New Roman"/>
                <w:b/>
                <w:bCs/>
              </w:rPr>
              <w:t>Preferred site recommendation (decision brief)</w:t>
            </w:r>
          </w:p>
          <w:p w14:paraId="364E5017" w14:textId="61723113" w:rsidR="001D131C" w:rsidRDefault="005A666A" w:rsidP="00C472E2">
            <w:r w:rsidRPr="005A666A">
              <w:rPr>
                <w:rFonts w:ascii="Times New Roman" w:hAnsi="Times New Roman" w:cs="Times New Roman"/>
              </w:rPr>
              <w:t>Clear recommendation of one preferred site with high-level schedule and weeks after budget to enable a go/no-go decision.</w:t>
            </w:r>
          </w:p>
        </w:tc>
        <w:tc>
          <w:tcPr>
            <w:tcW w:w="1559" w:type="dxa"/>
          </w:tcPr>
          <w:p w14:paraId="75634351" w14:textId="4FD157BB" w:rsidR="001D131C" w:rsidRPr="005A666A" w:rsidRDefault="005A666A" w:rsidP="00C472E2">
            <w:pPr>
              <w:rPr>
                <w:rFonts w:ascii="Times New Roman" w:hAnsi="Times New Roman" w:cs="Times New Roman"/>
                <w:sz w:val="20"/>
                <w:szCs w:val="20"/>
              </w:rPr>
            </w:pPr>
            <w:r w:rsidRPr="005A666A">
              <w:rPr>
                <w:rFonts w:ascii="Times New Roman" w:hAnsi="Times New Roman" w:cs="Times New Roman"/>
                <w:sz w:val="20"/>
                <w:szCs w:val="20"/>
              </w:rPr>
              <w:t>8 (eight) weeks contract signing</w:t>
            </w:r>
          </w:p>
        </w:tc>
      </w:tr>
      <w:tr w:rsidR="001D131C" w14:paraId="6E494CA6" w14:textId="77777777" w:rsidTr="005A666A">
        <w:tc>
          <w:tcPr>
            <w:tcW w:w="421" w:type="dxa"/>
          </w:tcPr>
          <w:p w14:paraId="1BE58695" w14:textId="6DB3367A" w:rsidR="001D131C" w:rsidRPr="001D131C" w:rsidRDefault="001D131C" w:rsidP="00C472E2">
            <w:pPr>
              <w:rPr>
                <w:rFonts w:ascii="Times New Roman" w:hAnsi="Times New Roman" w:cs="Times New Roman"/>
              </w:rPr>
            </w:pPr>
            <w:r>
              <w:rPr>
                <w:rFonts w:ascii="Times New Roman" w:hAnsi="Times New Roman" w:cs="Times New Roman"/>
              </w:rPr>
              <w:t>5</w:t>
            </w:r>
          </w:p>
        </w:tc>
        <w:tc>
          <w:tcPr>
            <w:tcW w:w="7229" w:type="dxa"/>
          </w:tcPr>
          <w:p w14:paraId="4F68D513" w14:textId="417C7E66" w:rsidR="005A666A" w:rsidRPr="005A666A" w:rsidRDefault="008D05C4" w:rsidP="00C472E2">
            <w:pPr>
              <w:rPr>
                <w:rFonts w:ascii="Times New Roman" w:hAnsi="Times New Roman" w:cs="Times New Roman"/>
              </w:rPr>
            </w:pPr>
            <w:r w:rsidRPr="008D05C4">
              <w:rPr>
                <w:rFonts w:ascii="Times New Roman" w:hAnsi="Times New Roman" w:cs="Times New Roman"/>
                <w:b/>
                <w:bCs/>
              </w:rPr>
              <w:t xml:space="preserve">Support during and until completion of </w:t>
            </w:r>
            <w:r w:rsidRPr="005A666A">
              <w:rPr>
                <w:rFonts w:ascii="Times New Roman" w:hAnsi="Times New Roman" w:cs="Times New Roman"/>
                <w:b/>
                <w:bCs/>
              </w:rPr>
              <w:t xml:space="preserve">EN 50600 </w:t>
            </w:r>
            <w:r>
              <w:rPr>
                <w:rFonts w:ascii="Times New Roman" w:hAnsi="Times New Roman" w:cs="Times New Roman"/>
                <w:b/>
                <w:bCs/>
              </w:rPr>
              <w:t>re-</w:t>
            </w:r>
            <w:r w:rsidRPr="008D05C4">
              <w:rPr>
                <w:rFonts w:ascii="Times New Roman" w:hAnsi="Times New Roman" w:cs="Times New Roman"/>
                <w:b/>
                <w:bCs/>
              </w:rPr>
              <w:t>certification</w:t>
            </w:r>
          </w:p>
        </w:tc>
        <w:tc>
          <w:tcPr>
            <w:tcW w:w="1559" w:type="dxa"/>
          </w:tcPr>
          <w:p w14:paraId="5645B3A1" w14:textId="3C9A65DD" w:rsidR="005A666A" w:rsidRPr="005A666A" w:rsidRDefault="005A666A" w:rsidP="005A666A">
            <w:pPr>
              <w:rPr>
                <w:rFonts w:ascii="Times New Roman" w:hAnsi="Times New Roman" w:cs="Times New Roman"/>
                <w:sz w:val="20"/>
                <w:szCs w:val="20"/>
              </w:rPr>
            </w:pPr>
            <w:r w:rsidRPr="005A666A">
              <w:rPr>
                <w:rFonts w:ascii="Times New Roman" w:hAnsi="Times New Roman" w:cs="Times New Roman"/>
                <w:sz w:val="20"/>
                <w:szCs w:val="20"/>
              </w:rPr>
              <w:t>16 (sixteen) weeks after</w:t>
            </w:r>
          </w:p>
          <w:p w14:paraId="03C316AB" w14:textId="3F9F8543" w:rsidR="001D131C" w:rsidRPr="005A666A" w:rsidRDefault="005A666A" w:rsidP="00C472E2">
            <w:pPr>
              <w:rPr>
                <w:rFonts w:ascii="Times New Roman" w:hAnsi="Times New Roman" w:cs="Times New Roman"/>
                <w:sz w:val="20"/>
                <w:szCs w:val="20"/>
              </w:rPr>
            </w:pPr>
            <w:r w:rsidRPr="005A666A">
              <w:rPr>
                <w:rFonts w:ascii="Times New Roman" w:hAnsi="Times New Roman" w:cs="Times New Roman"/>
                <w:sz w:val="20"/>
                <w:szCs w:val="20"/>
              </w:rPr>
              <w:t>contract signing</w:t>
            </w:r>
          </w:p>
        </w:tc>
      </w:tr>
    </w:tbl>
    <w:p w14:paraId="49CEF43E" w14:textId="0CDD62C2" w:rsidR="00C472E2" w:rsidRDefault="00C472E2" w:rsidP="00C472E2">
      <w:pPr>
        <w:pStyle w:val="Heading1"/>
      </w:pPr>
      <w:r>
        <w:t>Consultant Qualifications</w:t>
      </w:r>
    </w:p>
    <w:p w14:paraId="059B03E6" w14:textId="10A82CD8" w:rsidR="00C472E2" w:rsidRDefault="00C472E2" w:rsidP="00E86ACA">
      <w:pPr>
        <w:pStyle w:val="ListParagraph"/>
      </w:pPr>
      <w:r>
        <w:t>At least one (1) completed EN 50600 Data Center certification engagement in the last seven</w:t>
      </w:r>
      <w:r w:rsidR="00E86ACA">
        <w:t xml:space="preserve"> </w:t>
      </w:r>
      <w:r>
        <w:t>(7) years (including coordination with a certification body and documentation pack preparation for example risk analysis).</w:t>
      </w:r>
    </w:p>
    <w:p w14:paraId="26F15032" w14:textId="3CF5BF11" w:rsidR="00C472E2" w:rsidRDefault="00C472E2" w:rsidP="00E86ACA">
      <w:pPr>
        <w:pStyle w:val="ListParagraph"/>
      </w:pPr>
      <w:r>
        <w:t>Proven experience on minimum five (5) data center strategy/ feasibility/ due diligence projects of similar complexity with energy needs of more than 2 MW, completed in the last seven (7) years.</w:t>
      </w:r>
    </w:p>
    <w:p w14:paraId="129E4623" w14:textId="04A6CF03" w:rsidR="00C472E2" w:rsidRDefault="00C472E2" w:rsidP="00E86ACA">
      <w:pPr>
        <w:pStyle w:val="ListParagraph"/>
      </w:pPr>
      <w:r>
        <w:t>Proven experience in at least one (1) Data Center project strategy, operational</w:t>
      </w:r>
      <w:r w:rsidR="00E86ACA">
        <w:t xml:space="preserve"> and </w:t>
      </w:r>
      <w:r>
        <w:t>business model or similar projects for Oat Centers in accordance with Standard EN50600</w:t>
      </w:r>
    </w:p>
    <w:p w14:paraId="5068FC14" w14:textId="12690F08" w:rsidR="00C472E2" w:rsidRDefault="00C472E2" w:rsidP="00E86ACA">
      <w:pPr>
        <w:pStyle w:val="ListParagraph"/>
      </w:pPr>
      <w:r>
        <w:t>Experience in consulting projects related to data center with power higher than 30 MW is an</w:t>
      </w:r>
      <w:r w:rsidR="00E86ACA">
        <w:t xml:space="preserve"> </w:t>
      </w:r>
      <w:r>
        <w:t>advantage</w:t>
      </w:r>
    </w:p>
    <w:p w14:paraId="669B6FF8" w14:textId="20B7E898" w:rsidR="00C472E2" w:rsidRDefault="00C472E2" w:rsidP="00E86ACA">
      <w:pPr>
        <w:pStyle w:val="ListParagraph"/>
      </w:pPr>
      <w:r>
        <w:t xml:space="preserve">Experience with </w:t>
      </w:r>
      <w:r w:rsidR="00E86ACA">
        <w:t>minimum</w:t>
      </w:r>
      <w:r>
        <w:t xml:space="preserve"> 2 projects related to HPC such as strategy, due diligence or operational projects related to HPC or Al-oriented data centers, HPC as a Service monetization or operation projects, etc.</w:t>
      </w:r>
    </w:p>
    <w:p w14:paraId="74235BBA" w14:textId="49D9B814" w:rsidR="00C472E2" w:rsidRDefault="00C472E2" w:rsidP="00E86ACA">
      <w:pPr>
        <w:pStyle w:val="ListParagraph"/>
      </w:pPr>
      <w:r>
        <w:lastRenderedPageBreak/>
        <w:t>Demonstrated experience with minimum 2 public-sector data center projects is advantageous</w:t>
      </w:r>
    </w:p>
    <w:p w14:paraId="64DF72FC" w14:textId="172E74D5" w:rsidR="00C472E2" w:rsidRDefault="00C472E2" w:rsidP="00E86ACA">
      <w:pPr>
        <w:pStyle w:val="Heading1"/>
      </w:pPr>
      <w:r>
        <w:t>Team and Technical requirements</w:t>
      </w:r>
    </w:p>
    <w:p w14:paraId="3B864EAF" w14:textId="3DA2DEFE" w:rsidR="00C472E2" w:rsidRPr="00E86ACA" w:rsidRDefault="00C472E2" w:rsidP="00E86ACA">
      <w:pPr>
        <w:jc w:val="both"/>
        <w:rPr>
          <w:rFonts w:ascii="Times New Roman" w:hAnsi="Times New Roman" w:cs="Times New Roman"/>
        </w:rPr>
      </w:pPr>
      <w:r w:rsidRPr="00E86ACA">
        <w:rPr>
          <w:rFonts w:ascii="Times New Roman" w:hAnsi="Times New Roman" w:cs="Times New Roman"/>
        </w:rPr>
        <w:t>The Team should consist at minimum of:</w:t>
      </w:r>
    </w:p>
    <w:p w14:paraId="2A856E36" w14:textId="649CE15D" w:rsidR="00C472E2" w:rsidRDefault="00C472E2" w:rsidP="00E86ACA">
      <w:pPr>
        <w:pStyle w:val="Heading2"/>
        <w:numPr>
          <w:ilvl w:val="0"/>
          <w:numId w:val="5"/>
        </w:numPr>
      </w:pPr>
      <w:r>
        <w:t>Team Leader</w:t>
      </w:r>
    </w:p>
    <w:p w14:paraId="5BE1D0E7" w14:textId="7302A38A" w:rsidR="00C472E2" w:rsidRDefault="00C472E2" w:rsidP="00E86ACA">
      <w:pPr>
        <w:pStyle w:val="ListParagraph"/>
      </w:pPr>
      <w:r>
        <w:t xml:space="preserve">Graduate degree in IT, </w:t>
      </w:r>
      <w:r w:rsidR="00E86ACA">
        <w:t>I</w:t>
      </w:r>
      <w:r>
        <w:t>CT, business administration or similar fields; post graduate degree would be an asset.</w:t>
      </w:r>
    </w:p>
    <w:p w14:paraId="01180C1B" w14:textId="0EC80D1C" w:rsidR="00C472E2" w:rsidRDefault="00C472E2" w:rsidP="00E86ACA">
      <w:pPr>
        <w:pStyle w:val="ListParagraph"/>
      </w:pPr>
      <w:r>
        <w:t xml:space="preserve">At least </w:t>
      </w:r>
      <w:r w:rsidR="00E86ACA">
        <w:t>seven (</w:t>
      </w:r>
      <w:r>
        <w:t>7</w:t>
      </w:r>
      <w:r w:rsidR="00E86ACA">
        <w:t>)</w:t>
      </w:r>
      <w:r>
        <w:t xml:space="preserve"> </w:t>
      </w:r>
      <w:r w:rsidR="00E86ACA">
        <w:t>years of experience</w:t>
      </w:r>
      <w:r>
        <w:t xml:space="preserve"> on project management positions</w:t>
      </w:r>
      <w:r w:rsidR="00E86ACA">
        <w:t>.</w:t>
      </w:r>
    </w:p>
    <w:p w14:paraId="129527A7" w14:textId="2BAB9BE0" w:rsidR="00C472E2" w:rsidRDefault="00C472E2" w:rsidP="00E86ACA">
      <w:pPr>
        <w:pStyle w:val="ListParagraph"/>
      </w:pPr>
      <w:r>
        <w:t xml:space="preserve">Relevant experience in large-scale </w:t>
      </w:r>
      <w:r w:rsidR="00E86ACA">
        <w:t>I</w:t>
      </w:r>
      <w:r>
        <w:t>CT project delivery</w:t>
      </w:r>
      <w:r w:rsidR="00E86ACA">
        <w:t>.</w:t>
      </w:r>
    </w:p>
    <w:p w14:paraId="7F1EDBDA" w14:textId="7187BCC2" w:rsidR="00C472E2" w:rsidRDefault="00C472E2" w:rsidP="00E86ACA">
      <w:pPr>
        <w:pStyle w:val="ListParagraph"/>
      </w:pPr>
      <w:r>
        <w:t xml:space="preserve">Experience as Team Leader/Project Manager in at least </w:t>
      </w:r>
      <w:r w:rsidR="00E86ACA">
        <w:t>one (1)</w:t>
      </w:r>
      <w:r>
        <w:t xml:space="preserve"> project for data center with energy needs of more than 2 MW</w:t>
      </w:r>
      <w:r w:rsidR="00E86ACA">
        <w:t>.</w:t>
      </w:r>
    </w:p>
    <w:p w14:paraId="3B7BB9AB" w14:textId="7F615D40" w:rsidR="00C472E2" w:rsidRDefault="00C472E2" w:rsidP="00E86ACA">
      <w:pPr>
        <w:pStyle w:val="ListParagraph"/>
      </w:pPr>
      <w:r>
        <w:t>Fluency in English, both written and spoken</w:t>
      </w:r>
      <w:r w:rsidR="00E86ACA">
        <w:t>.</w:t>
      </w:r>
    </w:p>
    <w:p w14:paraId="148EB256" w14:textId="16C67DA5" w:rsidR="00C472E2" w:rsidRDefault="00C472E2" w:rsidP="00E86ACA">
      <w:pPr>
        <w:pStyle w:val="Heading2"/>
      </w:pPr>
      <w:r>
        <w:t xml:space="preserve">Business Consultant(s) (at least 2 experts </w:t>
      </w:r>
      <w:r w:rsidR="00E86ACA">
        <w:t>out</w:t>
      </w:r>
      <w:r>
        <w:t xml:space="preserve"> of which one should possess at minimum)</w:t>
      </w:r>
    </w:p>
    <w:p w14:paraId="415C3F38" w14:textId="02009900" w:rsidR="00C472E2" w:rsidRDefault="00C472E2" w:rsidP="008D05C4">
      <w:pPr>
        <w:pStyle w:val="ListParagraph"/>
      </w:pPr>
      <w:r>
        <w:t>Graduate degree in law, finance, business administration</w:t>
      </w:r>
      <w:r w:rsidR="00B648AB">
        <w:t>, IT</w:t>
      </w:r>
      <w:r>
        <w:t xml:space="preserve">, or similar fields; </w:t>
      </w:r>
    </w:p>
    <w:p w14:paraId="0AF2271B" w14:textId="22383E0B" w:rsidR="00C472E2" w:rsidRDefault="00C472E2" w:rsidP="00E86ACA">
      <w:pPr>
        <w:pStyle w:val="ListParagraph"/>
      </w:pPr>
      <w:r>
        <w:t xml:space="preserve">At least </w:t>
      </w:r>
      <w:r w:rsidR="00E86ACA">
        <w:t>four (</w:t>
      </w:r>
      <w:r>
        <w:t>4</w:t>
      </w:r>
      <w:r w:rsidR="00E86ACA">
        <w:t>)</w:t>
      </w:r>
      <w:r>
        <w:t xml:space="preserve"> years of experience on consulting and project management positions in large-scale projects.</w:t>
      </w:r>
    </w:p>
    <w:p w14:paraId="2540C20A" w14:textId="36EA1196" w:rsidR="00C472E2" w:rsidRDefault="00C472E2" w:rsidP="00E86ACA">
      <w:pPr>
        <w:pStyle w:val="ListParagraph"/>
      </w:pPr>
      <w:r>
        <w:t>Experience in minimum 5 projects related to Data Center market analysis and related business model definition including go to market for data center with energy needs of more than 2 MW</w:t>
      </w:r>
    </w:p>
    <w:p w14:paraId="4060C430" w14:textId="4F9358DF" w:rsidR="00C472E2" w:rsidRDefault="00C472E2" w:rsidP="00E86ACA">
      <w:pPr>
        <w:pStyle w:val="ListParagraph"/>
      </w:pPr>
      <w:r>
        <w:t>Experience in consulting projects such as due diligence, strategy, market assessment for Data Centers with energy needs of more than 30 MW is an advantage</w:t>
      </w:r>
    </w:p>
    <w:p w14:paraId="5B533503" w14:textId="4409E560" w:rsidR="00C472E2" w:rsidRDefault="00C472E2" w:rsidP="00E86ACA">
      <w:pPr>
        <w:pStyle w:val="ListParagraph"/>
      </w:pPr>
      <w:r>
        <w:t>Experience in data center site evaluation is an advantage</w:t>
      </w:r>
    </w:p>
    <w:p w14:paraId="22258A2F" w14:textId="144C3156" w:rsidR="00C472E2" w:rsidRDefault="00C472E2" w:rsidP="00E86ACA">
      <w:pPr>
        <w:pStyle w:val="ListParagraph"/>
      </w:pPr>
      <w:r>
        <w:t>Direct experience with data center EN50600 certification process is an advantage</w:t>
      </w:r>
    </w:p>
    <w:p w14:paraId="5FEB0435" w14:textId="29AA9721" w:rsidR="00C472E2" w:rsidRDefault="00C472E2" w:rsidP="00C472E2">
      <w:pPr>
        <w:pStyle w:val="ListParagraph"/>
      </w:pPr>
      <w:r>
        <w:t xml:space="preserve">Fluency in English, both written and spoken. Fluency in </w:t>
      </w:r>
      <w:r w:rsidR="00E86ACA">
        <w:t>Serbian</w:t>
      </w:r>
      <w:r>
        <w:t xml:space="preserve"> would be an advantage.</w:t>
      </w:r>
    </w:p>
    <w:p w14:paraId="560D471C" w14:textId="389FA0D4" w:rsidR="00C472E2" w:rsidRDefault="00C472E2" w:rsidP="00CA5809">
      <w:pPr>
        <w:pStyle w:val="Heading2"/>
      </w:pPr>
      <w:r>
        <w:t>DC Specialis</w:t>
      </w:r>
      <w:r w:rsidR="002F3480">
        <w:t>t</w:t>
      </w:r>
    </w:p>
    <w:p w14:paraId="566DDF8D" w14:textId="55EBCA27" w:rsidR="00C472E2" w:rsidRDefault="00C472E2" w:rsidP="00CA5809">
      <w:pPr>
        <w:pStyle w:val="ListParagraph"/>
      </w:pPr>
      <w:r>
        <w:t xml:space="preserve">Graduate degree in IT, </w:t>
      </w:r>
      <w:r w:rsidR="00CA5809">
        <w:t>I</w:t>
      </w:r>
      <w:r>
        <w:t>CT, or similar fields.</w:t>
      </w:r>
    </w:p>
    <w:p w14:paraId="50261105" w14:textId="7B6FB564" w:rsidR="00C472E2" w:rsidRDefault="00C472E2" w:rsidP="00CA5809">
      <w:pPr>
        <w:pStyle w:val="ListParagraph"/>
      </w:pPr>
      <w:r>
        <w:t xml:space="preserve">At least </w:t>
      </w:r>
      <w:r w:rsidR="00CA5809">
        <w:t>seven (</w:t>
      </w:r>
      <w:r>
        <w:t>7</w:t>
      </w:r>
      <w:r w:rsidR="00CA5809">
        <w:t>)</w:t>
      </w:r>
      <w:r>
        <w:t xml:space="preserve"> years</w:t>
      </w:r>
      <w:r w:rsidR="00CA5809">
        <w:t xml:space="preserve"> of</w:t>
      </w:r>
      <w:r>
        <w:t xml:space="preserve"> experience in designing/operating large-scale data centers.</w:t>
      </w:r>
    </w:p>
    <w:p w14:paraId="5F67BCC3" w14:textId="07C53648" w:rsidR="00C472E2" w:rsidRDefault="00C472E2" w:rsidP="00CA5809">
      <w:pPr>
        <w:pStyle w:val="ListParagraph"/>
      </w:pPr>
      <w:r>
        <w:t>Participated in designing, preparing feasibility studies or certification projects for at least two data centers with energy needs of more than 2 MW, in the past seven years.</w:t>
      </w:r>
    </w:p>
    <w:p w14:paraId="2F6A3300" w14:textId="77777777" w:rsidR="00CA5809" w:rsidRDefault="00C472E2" w:rsidP="00CA5809">
      <w:pPr>
        <w:pStyle w:val="ListParagraph"/>
      </w:pPr>
      <w:r>
        <w:t>Experience in at least one (</w:t>
      </w:r>
      <w:r w:rsidR="00CA5809">
        <w:t>1</w:t>
      </w:r>
      <w:r>
        <w:t xml:space="preserve">) Data Center project (ongoing or finished) designed in accordance with Standard EN50600; </w:t>
      </w:r>
    </w:p>
    <w:p w14:paraId="29C17DC7" w14:textId="18335A06" w:rsidR="00C472E2" w:rsidRDefault="00CA5809" w:rsidP="00CA5809">
      <w:pPr>
        <w:pStyle w:val="ListParagraph"/>
      </w:pPr>
      <w:r>
        <w:t>Experience</w:t>
      </w:r>
      <w:r w:rsidR="00C472E2">
        <w:t xml:space="preserve"> </w:t>
      </w:r>
      <w:r>
        <w:t>with</w:t>
      </w:r>
      <w:r w:rsidR="00C472E2">
        <w:t xml:space="preserve"> standards related to design, construction, equipping and operation of data centers</w:t>
      </w:r>
      <w:r>
        <w:t xml:space="preserve"> will be considered and advantage</w:t>
      </w:r>
      <w:r w:rsidR="00C472E2">
        <w:t>.</w:t>
      </w:r>
    </w:p>
    <w:p w14:paraId="7F02F536" w14:textId="70115853" w:rsidR="00C472E2" w:rsidRDefault="00C472E2" w:rsidP="00CA5809">
      <w:pPr>
        <w:pStyle w:val="ListParagraph"/>
      </w:pPr>
      <w:r>
        <w:t>Experience in data center site evaluation is an advantage</w:t>
      </w:r>
      <w:r w:rsidR="00CA5809">
        <w:t>.</w:t>
      </w:r>
    </w:p>
    <w:p w14:paraId="2F86021E" w14:textId="250462AF" w:rsidR="00C472E2" w:rsidRDefault="00C472E2" w:rsidP="00CA5809">
      <w:pPr>
        <w:pStyle w:val="ListParagraph"/>
      </w:pPr>
      <w:r>
        <w:t>Direct experience with data center EN50600 certification process is an advantage</w:t>
      </w:r>
      <w:r w:rsidR="00CA5809">
        <w:t>.</w:t>
      </w:r>
      <w:bookmarkStart w:id="0" w:name="_GoBack"/>
      <w:bookmarkEnd w:id="0"/>
    </w:p>
    <w:p w14:paraId="430C0926" w14:textId="68EDB05D" w:rsidR="00C472E2" w:rsidRDefault="00C472E2" w:rsidP="00CA5809">
      <w:pPr>
        <w:pStyle w:val="ListParagraph"/>
      </w:pPr>
      <w:r>
        <w:t>Fluency in English, both written and spoken. Fluency in local language would be an advantage.</w:t>
      </w:r>
    </w:p>
    <w:p w14:paraId="3FC7BEE3" w14:textId="77777777" w:rsidR="00C472E2" w:rsidRDefault="00C472E2" w:rsidP="00C472E2"/>
    <w:p w14:paraId="6CF2DA43" w14:textId="2AD8DF30" w:rsidR="00C472E2" w:rsidRDefault="00C472E2" w:rsidP="00CA5809">
      <w:pPr>
        <w:pStyle w:val="Heading2"/>
      </w:pPr>
      <w:r>
        <w:t>Business Analyst(s) (at least 2 experts out of which one should possess at minimum)</w:t>
      </w:r>
    </w:p>
    <w:p w14:paraId="70374FC2" w14:textId="6BFA3EA8" w:rsidR="00B648AB" w:rsidRDefault="00C472E2" w:rsidP="00CA5809">
      <w:pPr>
        <w:pStyle w:val="ListParagraph"/>
      </w:pPr>
      <w:r>
        <w:t>Graduate degree in law, finance, business administration,</w:t>
      </w:r>
      <w:r w:rsidR="00B648AB">
        <w:t xml:space="preserve"> IT,</w:t>
      </w:r>
      <w:r>
        <w:t xml:space="preserve"> or similar fields</w:t>
      </w:r>
      <w:r w:rsidR="00CA5809">
        <w:t>.</w:t>
      </w:r>
    </w:p>
    <w:p w14:paraId="566DF6C4" w14:textId="5055BEFF" w:rsidR="00C472E2" w:rsidRDefault="00C472E2" w:rsidP="00CA5809">
      <w:pPr>
        <w:pStyle w:val="ListParagraph"/>
      </w:pPr>
      <w:r>
        <w:lastRenderedPageBreak/>
        <w:t>Experience in minimum 2 projects related to Data Center market analysis and related business model definition including go to market for data center with energy needs of more than 2 MW</w:t>
      </w:r>
      <w:r w:rsidR="00CA5809">
        <w:t>.</w:t>
      </w:r>
    </w:p>
    <w:p w14:paraId="53A0A5F4" w14:textId="50CFD61C" w:rsidR="00C472E2" w:rsidRDefault="00C472E2" w:rsidP="00CA5809">
      <w:pPr>
        <w:pStyle w:val="ListParagraph"/>
      </w:pPr>
      <w:r>
        <w:t xml:space="preserve">Experience in minimum </w:t>
      </w:r>
      <w:r w:rsidR="00CA5809">
        <w:t>one (1)</w:t>
      </w:r>
      <w:r>
        <w:t xml:space="preserve"> consulting projects related to due diligence, strategy or market</w:t>
      </w:r>
      <w:r w:rsidR="00CA5809">
        <w:t>.</w:t>
      </w:r>
    </w:p>
    <w:p w14:paraId="550B58EE" w14:textId="26CE3B90" w:rsidR="00C472E2" w:rsidRDefault="00C472E2" w:rsidP="00CA5809">
      <w:pPr>
        <w:pStyle w:val="ListParagraph"/>
      </w:pPr>
      <w:r>
        <w:t xml:space="preserve">Experience in at least </w:t>
      </w:r>
      <w:r w:rsidR="00CA5809">
        <w:t>one (1)</w:t>
      </w:r>
      <w:r>
        <w:t xml:space="preserve"> A</w:t>
      </w:r>
      <w:r w:rsidR="00CA5809">
        <w:t>I</w:t>
      </w:r>
      <w:r>
        <w:t xml:space="preserve"> project (Use cases or governance model analysis)</w:t>
      </w:r>
      <w:r w:rsidR="00CA5809">
        <w:t>.</w:t>
      </w:r>
    </w:p>
    <w:p w14:paraId="2F5F93C1" w14:textId="583238D4" w:rsidR="00C472E2" w:rsidRDefault="00C472E2" w:rsidP="00CA5809">
      <w:pPr>
        <w:pStyle w:val="ListParagraph"/>
      </w:pPr>
      <w:r>
        <w:t>Fluency in English, both written and spoken. Fluency in local language would be an advantage.</w:t>
      </w:r>
    </w:p>
    <w:p w14:paraId="6CBE9A43" w14:textId="22E1455B" w:rsidR="00C472E2" w:rsidRDefault="00C472E2" w:rsidP="00690C43">
      <w:pPr>
        <w:pStyle w:val="Heading1"/>
      </w:pPr>
      <w:r>
        <w:t>Evaluation</w:t>
      </w:r>
    </w:p>
    <w:p w14:paraId="6F4140E9" w14:textId="6EC3F0FF" w:rsidR="00501010" w:rsidRPr="00690C43" w:rsidRDefault="00C472E2" w:rsidP="00690C43">
      <w:pPr>
        <w:jc w:val="both"/>
        <w:rPr>
          <w:rFonts w:ascii="Times New Roman" w:hAnsi="Times New Roman" w:cs="Times New Roman"/>
        </w:rPr>
      </w:pPr>
      <w:r w:rsidRPr="00690C43">
        <w:rPr>
          <w:rFonts w:ascii="Times New Roman" w:hAnsi="Times New Roman" w:cs="Times New Roman"/>
        </w:rPr>
        <w:t>The Consultant which obtains the highest score during evaluation of expressions of interest will be invited to submit technical and financial proposals.</w:t>
      </w:r>
    </w:p>
    <w:sectPr w:rsidR="00501010" w:rsidRPr="00690C4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6BB03" w14:textId="77777777" w:rsidR="009131C2" w:rsidRDefault="009131C2" w:rsidP="00C472E2">
      <w:pPr>
        <w:spacing w:after="0" w:line="240" w:lineRule="auto"/>
      </w:pPr>
      <w:r>
        <w:separator/>
      </w:r>
    </w:p>
  </w:endnote>
  <w:endnote w:type="continuationSeparator" w:id="0">
    <w:p w14:paraId="12AE0907" w14:textId="77777777" w:rsidR="009131C2" w:rsidRDefault="009131C2" w:rsidP="00C4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767432"/>
      <w:docPartObj>
        <w:docPartGallery w:val="Page Numbers (Bottom of Page)"/>
        <w:docPartUnique/>
      </w:docPartObj>
    </w:sdtPr>
    <w:sdtEndPr>
      <w:rPr>
        <w:rFonts w:ascii="Times New Roman" w:hAnsi="Times New Roman" w:cs="Times New Roman"/>
        <w:noProof/>
        <w:sz w:val="20"/>
        <w:szCs w:val="20"/>
      </w:rPr>
    </w:sdtEndPr>
    <w:sdtContent>
      <w:p w14:paraId="351091C9" w14:textId="1A7E4760" w:rsidR="00C472E2" w:rsidRPr="00C472E2" w:rsidRDefault="00C472E2">
        <w:pPr>
          <w:pStyle w:val="Footer"/>
          <w:jc w:val="right"/>
          <w:rPr>
            <w:rFonts w:ascii="Times New Roman" w:hAnsi="Times New Roman" w:cs="Times New Roman"/>
            <w:sz w:val="20"/>
            <w:szCs w:val="20"/>
          </w:rPr>
        </w:pPr>
        <w:r w:rsidRPr="00C472E2">
          <w:rPr>
            <w:rFonts w:ascii="Times New Roman" w:hAnsi="Times New Roman" w:cs="Times New Roman"/>
            <w:sz w:val="20"/>
            <w:szCs w:val="20"/>
          </w:rPr>
          <w:fldChar w:fldCharType="begin"/>
        </w:r>
        <w:r w:rsidRPr="00C472E2">
          <w:rPr>
            <w:rFonts w:ascii="Times New Roman" w:hAnsi="Times New Roman" w:cs="Times New Roman"/>
            <w:sz w:val="20"/>
            <w:szCs w:val="20"/>
          </w:rPr>
          <w:instrText xml:space="preserve"> PAGE   \* MERGEFORMAT </w:instrText>
        </w:r>
        <w:r w:rsidRPr="00C472E2">
          <w:rPr>
            <w:rFonts w:ascii="Times New Roman" w:hAnsi="Times New Roman" w:cs="Times New Roman"/>
            <w:sz w:val="20"/>
            <w:szCs w:val="20"/>
          </w:rPr>
          <w:fldChar w:fldCharType="separate"/>
        </w:r>
        <w:r w:rsidR="00AC56ED">
          <w:rPr>
            <w:rFonts w:ascii="Times New Roman" w:hAnsi="Times New Roman" w:cs="Times New Roman"/>
            <w:noProof/>
            <w:sz w:val="20"/>
            <w:szCs w:val="20"/>
          </w:rPr>
          <w:t>5</w:t>
        </w:r>
        <w:r w:rsidRPr="00C472E2">
          <w:rPr>
            <w:rFonts w:ascii="Times New Roman" w:hAnsi="Times New Roman" w:cs="Times New Roman"/>
            <w:noProof/>
            <w:sz w:val="20"/>
            <w:szCs w:val="20"/>
          </w:rPr>
          <w:fldChar w:fldCharType="end"/>
        </w:r>
      </w:p>
    </w:sdtContent>
  </w:sdt>
  <w:p w14:paraId="38EA43C5" w14:textId="77777777" w:rsidR="00C472E2" w:rsidRDefault="00C47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9885E" w14:textId="77777777" w:rsidR="009131C2" w:rsidRDefault="009131C2" w:rsidP="00C472E2">
      <w:pPr>
        <w:spacing w:after="0" w:line="240" w:lineRule="auto"/>
      </w:pPr>
      <w:r>
        <w:separator/>
      </w:r>
    </w:p>
  </w:footnote>
  <w:footnote w:type="continuationSeparator" w:id="0">
    <w:p w14:paraId="038DFE5D" w14:textId="77777777" w:rsidR="009131C2" w:rsidRDefault="009131C2" w:rsidP="00C47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417"/>
    <w:multiLevelType w:val="hybridMultilevel"/>
    <w:tmpl w:val="E872FBE0"/>
    <w:lvl w:ilvl="0" w:tplc="366423A6">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D1A27"/>
    <w:multiLevelType w:val="hybridMultilevel"/>
    <w:tmpl w:val="FBE07EDE"/>
    <w:lvl w:ilvl="0" w:tplc="9EF2285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1C3D3A"/>
    <w:multiLevelType w:val="hybridMultilevel"/>
    <w:tmpl w:val="2018C38E"/>
    <w:lvl w:ilvl="0" w:tplc="6236276A">
      <w:start w:val="1"/>
      <w:numFmt w:val="low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2E2"/>
    <w:rsid w:val="001B1446"/>
    <w:rsid w:val="001D131C"/>
    <w:rsid w:val="0023017D"/>
    <w:rsid w:val="002F3480"/>
    <w:rsid w:val="00501010"/>
    <w:rsid w:val="005A666A"/>
    <w:rsid w:val="00690C43"/>
    <w:rsid w:val="006B4B1E"/>
    <w:rsid w:val="007C1BA7"/>
    <w:rsid w:val="00830317"/>
    <w:rsid w:val="008B7730"/>
    <w:rsid w:val="008D05C4"/>
    <w:rsid w:val="009131C2"/>
    <w:rsid w:val="00A12DE7"/>
    <w:rsid w:val="00AC56ED"/>
    <w:rsid w:val="00B06486"/>
    <w:rsid w:val="00B5578F"/>
    <w:rsid w:val="00B648AB"/>
    <w:rsid w:val="00B7361B"/>
    <w:rsid w:val="00BF357F"/>
    <w:rsid w:val="00C472E2"/>
    <w:rsid w:val="00CA5809"/>
    <w:rsid w:val="00D70375"/>
    <w:rsid w:val="00D86D13"/>
    <w:rsid w:val="00DE3058"/>
    <w:rsid w:val="00E07DDE"/>
    <w:rsid w:val="00E65D13"/>
    <w:rsid w:val="00E86ACA"/>
    <w:rsid w:val="00E900A4"/>
    <w:rsid w:val="00F54646"/>
    <w:rsid w:val="00F8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A45B7"/>
  <w15:chartTrackingRefBased/>
  <w15:docId w15:val="{58DA2471-E519-4916-B6EF-FA6CB917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A12DE7"/>
    <w:pPr>
      <w:keepNext/>
      <w:keepLines/>
      <w:numPr>
        <w:numId w:val="1"/>
      </w:numPr>
      <w:spacing w:before="360" w:after="80"/>
      <w:ind w:left="714" w:hanging="357"/>
      <w:jc w:val="both"/>
      <w:outlineLvl w:val="0"/>
    </w:pPr>
    <w:rPr>
      <w:rFonts w:ascii="Times New Roman" w:eastAsia="Times New Roman" w:hAnsi="Times New Roman" w:cstheme="majorBidi"/>
      <w:b/>
      <w:bCs/>
      <w:kern w:val="2"/>
      <w:szCs w:val="40"/>
      <w14:ligatures w14:val="standardContextual"/>
    </w:rPr>
  </w:style>
  <w:style w:type="paragraph" w:styleId="Heading2">
    <w:name w:val="heading 2"/>
    <w:basedOn w:val="Normal"/>
    <w:next w:val="Normal"/>
    <w:link w:val="Heading2Char"/>
    <w:autoRedefine/>
    <w:uiPriority w:val="9"/>
    <w:unhideWhenUsed/>
    <w:qFormat/>
    <w:rsid w:val="00E86ACA"/>
    <w:pPr>
      <w:keepNext/>
      <w:keepLines/>
      <w:numPr>
        <w:numId w:val="2"/>
      </w:numPr>
      <w:spacing w:before="40" w:after="0"/>
      <w:jc w:val="both"/>
      <w:outlineLvl w:val="1"/>
    </w:pPr>
    <w:rPr>
      <w:rFonts w:ascii="Times New Roman" w:eastAsiaTheme="majorEastAsia" w:hAnsi="Times New Roman"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2E2"/>
  </w:style>
  <w:style w:type="paragraph" w:styleId="Footer">
    <w:name w:val="footer"/>
    <w:basedOn w:val="Normal"/>
    <w:link w:val="FooterChar"/>
    <w:uiPriority w:val="99"/>
    <w:unhideWhenUsed/>
    <w:rsid w:val="00C47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2E2"/>
  </w:style>
  <w:style w:type="character" w:customStyle="1" w:styleId="Heading1Char">
    <w:name w:val="Heading 1 Char"/>
    <w:basedOn w:val="DefaultParagraphFont"/>
    <w:link w:val="Heading1"/>
    <w:uiPriority w:val="9"/>
    <w:rsid w:val="00A12DE7"/>
    <w:rPr>
      <w:rFonts w:ascii="Times New Roman" w:eastAsia="Times New Roman" w:hAnsi="Times New Roman" w:cstheme="majorBidi"/>
      <w:b/>
      <w:bCs/>
      <w:kern w:val="2"/>
      <w:szCs w:val="40"/>
      <w14:ligatures w14:val="standardContextual"/>
    </w:rPr>
  </w:style>
  <w:style w:type="character" w:customStyle="1" w:styleId="Heading2Char">
    <w:name w:val="Heading 2 Char"/>
    <w:basedOn w:val="DefaultParagraphFont"/>
    <w:link w:val="Heading2"/>
    <w:uiPriority w:val="9"/>
    <w:rsid w:val="00E86ACA"/>
    <w:rPr>
      <w:rFonts w:ascii="Times New Roman" w:eastAsiaTheme="majorEastAsia" w:hAnsi="Times New Roman" w:cstheme="majorBidi"/>
      <w:b/>
      <w:szCs w:val="26"/>
    </w:rPr>
  </w:style>
  <w:style w:type="paragraph" w:styleId="ListParagraph">
    <w:name w:val="List Paragraph"/>
    <w:basedOn w:val="Normal"/>
    <w:autoRedefine/>
    <w:uiPriority w:val="34"/>
    <w:qFormat/>
    <w:rsid w:val="00A12DE7"/>
    <w:pPr>
      <w:numPr>
        <w:numId w:val="3"/>
      </w:numPr>
      <w:contextualSpacing/>
      <w:jc w:val="both"/>
    </w:pPr>
    <w:rPr>
      <w:rFonts w:ascii="Times New Roman" w:hAnsi="Times New Roman"/>
    </w:rPr>
  </w:style>
  <w:style w:type="table" w:styleId="TableGrid">
    <w:name w:val="Table Grid"/>
    <w:basedOn w:val="TableNormal"/>
    <w:uiPriority w:val="39"/>
    <w:rsid w:val="001D1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3480"/>
    <w:rPr>
      <w:sz w:val="16"/>
      <w:szCs w:val="16"/>
    </w:rPr>
  </w:style>
  <w:style w:type="paragraph" w:styleId="CommentText">
    <w:name w:val="annotation text"/>
    <w:basedOn w:val="Normal"/>
    <w:link w:val="CommentTextChar"/>
    <w:uiPriority w:val="99"/>
    <w:semiHidden/>
    <w:unhideWhenUsed/>
    <w:rsid w:val="002F3480"/>
    <w:pPr>
      <w:spacing w:line="240" w:lineRule="auto"/>
    </w:pPr>
    <w:rPr>
      <w:sz w:val="20"/>
      <w:szCs w:val="20"/>
    </w:rPr>
  </w:style>
  <w:style w:type="character" w:customStyle="1" w:styleId="CommentTextChar">
    <w:name w:val="Comment Text Char"/>
    <w:basedOn w:val="DefaultParagraphFont"/>
    <w:link w:val="CommentText"/>
    <w:uiPriority w:val="99"/>
    <w:semiHidden/>
    <w:rsid w:val="002F3480"/>
    <w:rPr>
      <w:sz w:val="20"/>
      <w:szCs w:val="20"/>
    </w:rPr>
  </w:style>
  <w:style w:type="paragraph" w:styleId="CommentSubject">
    <w:name w:val="annotation subject"/>
    <w:basedOn w:val="CommentText"/>
    <w:next w:val="CommentText"/>
    <w:link w:val="CommentSubjectChar"/>
    <w:uiPriority w:val="99"/>
    <w:semiHidden/>
    <w:unhideWhenUsed/>
    <w:rsid w:val="002F3480"/>
    <w:rPr>
      <w:b/>
      <w:bCs/>
    </w:rPr>
  </w:style>
  <w:style w:type="character" w:customStyle="1" w:styleId="CommentSubjectChar">
    <w:name w:val="Comment Subject Char"/>
    <w:basedOn w:val="CommentTextChar"/>
    <w:link w:val="CommentSubject"/>
    <w:uiPriority w:val="99"/>
    <w:semiHidden/>
    <w:rsid w:val="002F34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Antonijević</dc:creator>
  <cp:keywords/>
  <dc:description/>
  <cp:lastModifiedBy>Ljiljana Krejović</cp:lastModifiedBy>
  <cp:revision>2</cp:revision>
  <dcterms:created xsi:type="dcterms:W3CDTF">2025-11-13T10:31:00Z</dcterms:created>
  <dcterms:modified xsi:type="dcterms:W3CDTF">2025-11-13T10:31:00Z</dcterms:modified>
</cp:coreProperties>
</file>