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9B9B" w14:textId="77777777" w:rsidR="003F6BE2" w:rsidRPr="003F6BE2" w:rsidRDefault="003F6BE2" w:rsidP="003F6BE2">
      <w:pPr>
        <w:spacing w:after="0" w:line="240" w:lineRule="auto"/>
        <w:jc w:val="center"/>
        <w:rPr>
          <w:rFonts w:ascii="Times New Roman" w:eastAsia="Times New Roman" w:hAnsi="Times New Roman" w:cs="Times New Roman"/>
          <w:b/>
          <w:kern w:val="0"/>
          <w:sz w:val="28"/>
          <w:szCs w:val="28"/>
          <w14:ligatures w14:val="none"/>
        </w:rPr>
      </w:pPr>
      <w:bookmarkStart w:id="0" w:name="_GoBack"/>
      <w:bookmarkEnd w:id="0"/>
      <w:r w:rsidRPr="003F6BE2">
        <w:rPr>
          <w:rFonts w:ascii="Times New Roman" w:eastAsia="Times New Roman" w:hAnsi="Times New Roman" w:cs="Times New Roman"/>
          <w:b/>
          <w:kern w:val="0"/>
          <w:sz w:val="28"/>
          <w:szCs w:val="28"/>
          <w14:ligatures w14:val="none"/>
        </w:rPr>
        <w:t>TERMS OF REFERENCE</w:t>
      </w:r>
    </w:p>
    <w:p w14:paraId="036B6806" w14:textId="77777777" w:rsidR="003F6BE2" w:rsidRPr="003F6BE2" w:rsidRDefault="003F6BE2" w:rsidP="003F6BE2">
      <w:pPr>
        <w:spacing w:after="0" w:line="240" w:lineRule="auto"/>
        <w:jc w:val="center"/>
        <w:rPr>
          <w:rFonts w:ascii="Times New Roman" w:eastAsia="Times New Roman" w:hAnsi="Times New Roman" w:cs="Times New Roman"/>
          <w:b/>
          <w:kern w:val="0"/>
          <w:sz w:val="28"/>
          <w:szCs w:val="28"/>
          <w14:ligatures w14:val="none"/>
        </w:rPr>
      </w:pPr>
      <w:r w:rsidRPr="003F6BE2">
        <w:rPr>
          <w:rFonts w:ascii="Times New Roman" w:eastAsia="Times New Roman" w:hAnsi="Times New Roman" w:cs="Times New Roman"/>
          <w:b/>
          <w:kern w:val="0"/>
          <w:sz w:val="28"/>
          <w:szCs w:val="28"/>
          <w14:ligatures w14:val="none"/>
        </w:rPr>
        <w:t>for</w:t>
      </w:r>
    </w:p>
    <w:p w14:paraId="57BD5B4B" w14:textId="2CE1433D" w:rsidR="007A4DC9" w:rsidRPr="00D03F03" w:rsidRDefault="006515F2" w:rsidP="003F6BE2">
      <w:pPr>
        <w:spacing w:after="360" w:line="240" w:lineRule="auto"/>
        <w:jc w:val="center"/>
        <w:rPr>
          <w:rFonts w:ascii="Times New Roman" w:eastAsia="Times New Roman" w:hAnsi="Times New Roman" w:cs="Times New Roman"/>
          <w:b/>
          <w:kern w:val="0"/>
          <w:sz w:val="28"/>
          <w:szCs w:val="28"/>
          <w14:ligatures w14:val="none"/>
        </w:rPr>
      </w:pPr>
      <w:r w:rsidRPr="006515F2">
        <w:rPr>
          <w:rFonts w:ascii="Times New Roman" w:eastAsia="Times New Roman" w:hAnsi="Times New Roman" w:cs="Times New Roman"/>
          <w:b/>
          <w:kern w:val="0"/>
          <w:sz w:val="28"/>
          <w:szCs w:val="28"/>
          <w14:ligatures w14:val="none"/>
        </w:rPr>
        <w:t>Legal Review for E-Wallet Implementation</w:t>
      </w:r>
    </w:p>
    <w:p w14:paraId="1664427C" w14:textId="24D53763" w:rsidR="007A4DC9" w:rsidRPr="00D03F03" w:rsidRDefault="003F6BE2" w:rsidP="005120EC">
      <w:pPr>
        <w:pStyle w:val="Heading1"/>
      </w:pPr>
      <w:r w:rsidRPr="00D03F03">
        <w:t>Background Information</w:t>
      </w:r>
    </w:p>
    <w:p w14:paraId="1BD135D9" w14:textId="4040F231" w:rsidR="003F6BE2" w:rsidRPr="00D03F03" w:rsidRDefault="003F6BE2" w:rsidP="003F6BE2">
      <w:pPr>
        <w:jc w:val="both"/>
        <w:rPr>
          <w:rFonts w:ascii="Times New Roman" w:hAnsi="Times New Roman" w:cs="Times New Roman"/>
        </w:rPr>
      </w:pPr>
      <w:r w:rsidRPr="00D03F03">
        <w:rPr>
          <w:rFonts w:ascii="Times New Roman" w:hAnsi="Times New Roman" w:cs="Times New Roman"/>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06CC624A" w14:textId="7A844B12" w:rsidR="003F6BE2" w:rsidRPr="00D03F03" w:rsidRDefault="003F6BE2" w:rsidP="003F6BE2">
      <w:pPr>
        <w:jc w:val="both"/>
        <w:rPr>
          <w:rFonts w:ascii="Times New Roman" w:hAnsi="Times New Roman" w:cs="Times New Roman"/>
        </w:rPr>
      </w:pPr>
      <w:r w:rsidRPr="00D03F03">
        <w:rPr>
          <w:rFonts w:ascii="Times New Roman" w:hAnsi="Times New Roman" w:cs="Times New Roman"/>
        </w:rPr>
        <w:t>The Government of Serbia (GoS), elected in June 2017, has prioritized the digital transformation of the national economy and state administration. The Prime Minister's Keynote Address at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materialized in August 2017, when the new Government formed the Office for IT and e-Government (OITeG) and appointed the Prime Minister as head of the Council for Innovative Entrepreneurship and Information Technologies (IT Council).</w:t>
      </w:r>
    </w:p>
    <w:p w14:paraId="53F56A70" w14:textId="565433E3" w:rsidR="003F6BE2" w:rsidRPr="00D03F03" w:rsidRDefault="003F6BE2" w:rsidP="003F6BE2">
      <w:pPr>
        <w:jc w:val="both"/>
        <w:rPr>
          <w:rFonts w:ascii="Times New Roman" w:hAnsi="Times New Roman" w:cs="Times New Roman"/>
          <w:color w:val="000000"/>
        </w:rPr>
      </w:pPr>
      <w:r w:rsidRPr="00D03F03">
        <w:rPr>
          <w:rFonts w:ascii="Times New Roman" w:hAnsi="Times New Roman" w:cs="Times New Roman"/>
          <w:color w:val="000000"/>
        </w:rPr>
        <w:t xml:space="preserve">In addition, the Government of Serbia has requested assistance </w:t>
      </w:r>
      <w:r w:rsidRPr="00D03F03">
        <w:rPr>
          <w:rFonts w:ascii="Times New Roman" w:hAnsi="Times New Roman" w:cs="Times New Roman"/>
        </w:rPr>
        <w:t>from the</w:t>
      </w:r>
      <w:r w:rsidRPr="00D03F03">
        <w:rPr>
          <w:rFonts w:ascii="Times New Roman" w:hAnsi="Times New Roman" w:cs="Times New Roman"/>
          <w:color w:val="000000"/>
        </w:rPr>
        <w:t xml:space="preserve"> World Bank in supporting the reform efforts, through a loan. To this effect, the World Bank has initiated the Enabling Digital Governance Project (EDGE). The Project, launched back in April 2019, </w:t>
      </w:r>
      <w:r w:rsidR="00472173">
        <w:rPr>
          <w:rFonts w:ascii="Times New Roman" w:hAnsi="Times New Roman" w:cs="Times New Roman"/>
          <w:color w:val="000000"/>
        </w:rPr>
        <w:t xml:space="preserve">and restructured in June 2024, </w:t>
      </w:r>
      <w:r w:rsidRPr="00D03F03">
        <w:rPr>
          <w:rFonts w:ascii="Times New Roman" w:hAnsi="Times New Roman" w:cs="Times New Roman"/>
          <w:color w:val="000000"/>
        </w:rPr>
        <w:t>aims at contributing to development of the digitalization in Serbia, through implementation of the following components:</w:t>
      </w:r>
    </w:p>
    <w:p w14:paraId="0901292D" w14:textId="77777777" w:rsidR="003F6BE2" w:rsidRPr="00D03F03" w:rsidRDefault="003F6BE2" w:rsidP="003F6BE2">
      <w:pPr>
        <w:jc w:val="both"/>
        <w:rPr>
          <w:rFonts w:ascii="Times New Roman" w:hAnsi="Times New Roman" w:cs="Times New Roman"/>
          <w:i/>
        </w:rPr>
      </w:pPr>
      <w:r w:rsidRPr="00D03F03">
        <w:rPr>
          <w:rFonts w:ascii="Times New Roman" w:hAnsi="Times New Roman" w:cs="Times New Roman"/>
          <w:i/>
        </w:rPr>
        <w:t>Component 1: Foundations for Digital Service Delivery</w:t>
      </w:r>
    </w:p>
    <w:p w14:paraId="58788B17" w14:textId="2731E177" w:rsidR="003F6BE2" w:rsidRPr="00D03F03" w:rsidRDefault="003F6BE2" w:rsidP="003F6BE2">
      <w:pPr>
        <w:jc w:val="both"/>
        <w:rPr>
          <w:rFonts w:ascii="Times New Roman" w:hAnsi="Times New Roman" w:cs="Times New Roman"/>
        </w:rPr>
      </w:pPr>
      <w:r w:rsidRPr="00D03F03">
        <w:rPr>
          <w:rFonts w:ascii="Times New Roman" w:hAnsi="Times New Roman" w:cs="Times New Roman"/>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237CD6CF" w14:textId="77777777" w:rsidR="003F6BE2" w:rsidRPr="00D03F03" w:rsidRDefault="003F6BE2" w:rsidP="003F6BE2">
      <w:pPr>
        <w:jc w:val="both"/>
        <w:rPr>
          <w:rFonts w:ascii="Times New Roman" w:hAnsi="Times New Roman" w:cs="Times New Roman"/>
        </w:rPr>
      </w:pPr>
      <w:r w:rsidRPr="00D03F03">
        <w:rPr>
          <w:rFonts w:ascii="Times New Roman" w:hAnsi="Times New Roman" w:cs="Times New Roman"/>
          <w:i/>
        </w:rPr>
        <w:t>Component 2. Citizen-Centric Digital Services</w:t>
      </w:r>
    </w:p>
    <w:p w14:paraId="2DC41E30" w14:textId="630F5244" w:rsidR="003F6BE2" w:rsidRPr="00D03F03" w:rsidRDefault="003F6BE2" w:rsidP="003F6BE2">
      <w:pPr>
        <w:jc w:val="both"/>
        <w:rPr>
          <w:rFonts w:ascii="Times New Roman" w:hAnsi="Times New Roman" w:cs="Times New Roman"/>
        </w:rPr>
      </w:pPr>
      <w:r w:rsidRPr="00D03F03">
        <w:rPr>
          <w:rFonts w:ascii="Times New Roman" w:hAnsi="Times New Roman" w:cs="Times New Roman"/>
        </w:rPr>
        <w:t>The objective of this component is to support the three dimensions of project objectives—access, quality, and efficiency of e-services: (a) integrate change management and citizen engagement activities into this digital transformation process; (b) strengthen the institutional capacity of the OITeG and other key stakeholders for leading and coordinating intergovernmental activities in an agile, user-centric way; and (c) streamline the implementation arrangements through a partnership between OITeG and Public Policy Secretariat (PPS) of the Prime Minister’s office.</w:t>
      </w:r>
    </w:p>
    <w:p w14:paraId="57C6D301" w14:textId="77777777" w:rsidR="003F6BE2" w:rsidRPr="00D03F03" w:rsidRDefault="003F6BE2" w:rsidP="003F6BE2">
      <w:pPr>
        <w:jc w:val="both"/>
        <w:rPr>
          <w:rFonts w:ascii="Times New Roman" w:hAnsi="Times New Roman" w:cs="Times New Roman"/>
          <w:i/>
        </w:rPr>
      </w:pPr>
      <w:r w:rsidRPr="00D03F03">
        <w:rPr>
          <w:rFonts w:ascii="Times New Roman" w:hAnsi="Times New Roman" w:cs="Times New Roman"/>
          <w:i/>
        </w:rPr>
        <w:t>Component 3. Digital Skills Development and Project Management</w:t>
      </w:r>
    </w:p>
    <w:p w14:paraId="01034CCC" w14:textId="0B3EB39B" w:rsidR="003F6BE2" w:rsidRPr="00D03F03" w:rsidRDefault="003F6BE2" w:rsidP="003F6BE2">
      <w:pPr>
        <w:jc w:val="both"/>
        <w:rPr>
          <w:rFonts w:ascii="Times New Roman" w:hAnsi="Times New Roman" w:cs="Times New Roman"/>
        </w:rPr>
      </w:pPr>
      <w:r w:rsidRPr="00D03F03">
        <w:rPr>
          <w:rFonts w:ascii="Times New Roman" w:hAnsi="Times New Roman" w:cs="Times New Roman"/>
        </w:rPr>
        <w:t>This component focuses on the integration of change management, communication, and citizen feedback into Component 2.</w:t>
      </w:r>
    </w:p>
    <w:p w14:paraId="78ECC3E1" w14:textId="77777777" w:rsidR="006515F2" w:rsidRDefault="003F6BE2" w:rsidP="006515F2">
      <w:pPr>
        <w:jc w:val="both"/>
        <w:rPr>
          <w:rFonts w:ascii="Times New Roman" w:hAnsi="Times New Roman" w:cs="Times New Roman"/>
        </w:rPr>
      </w:pPr>
      <w:r w:rsidRPr="00D03F03">
        <w:rPr>
          <w:rFonts w:ascii="Times New Roman" w:hAnsi="Times New Roman" w:cs="Times New Roman"/>
        </w:rPr>
        <w:t>For the purposes of effectively managing and coordinating EDGE and future Projects with International Financial Institutions (IFI) financing, the Project Implementation Unit (PIU) has been founded at the OITeG.</w:t>
      </w:r>
      <w:r w:rsidR="006515F2">
        <w:rPr>
          <w:rFonts w:ascii="Times New Roman" w:hAnsi="Times New Roman" w:cs="Times New Roman"/>
        </w:rPr>
        <w:t xml:space="preserve"> </w:t>
      </w:r>
    </w:p>
    <w:p w14:paraId="2F923E9B" w14:textId="103C6B4B" w:rsidR="006515F2" w:rsidRPr="006515F2" w:rsidRDefault="006515F2" w:rsidP="006515F2">
      <w:pPr>
        <w:jc w:val="both"/>
        <w:rPr>
          <w:rFonts w:ascii="Times New Roman" w:hAnsi="Times New Roman" w:cs="Times New Roman"/>
        </w:rPr>
      </w:pPr>
      <w:r w:rsidRPr="006515F2">
        <w:rPr>
          <w:rFonts w:ascii="Times New Roman" w:hAnsi="Times New Roman" w:cs="Times New Roman"/>
        </w:rPr>
        <w:lastRenderedPageBreak/>
        <w:t>The Government of Serbia is committed to accelerating its digital transformation to enhance public service delivery, administrative efficiency, and transparency. A central element of this transformation is the establishment of an electronic wallet (e-wallet) system intended to securely digitize and streamline access to and verification of essential personal documents and public services. This initiative aligns with global best practices and the European Union's Electronic Identification, Authentication, and Trust Services regulation (eIDAS2), responding to a growing demand for secure and user-friendly digital identification solutions.</w:t>
      </w:r>
    </w:p>
    <w:p w14:paraId="63E14AF1" w14:textId="3ACBECAF" w:rsidR="006515F2" w:rsidRPr="006515F2" w:rsidRDefault="006515F2" w:rsidP="006515F2">
      <w:pPr>
        <w:jc w:val="both"/>
        <w:rPr>
          <w:rFonts w:ascii="Times New Roman" w:hAnsi="Times New Roman" w:cs="Times New Roman"/>
        </w:rPr>
      </w:pPr>
      <w:r w:rsidRPr="006515F2">
        <w:rPr>
          <w:rFonts w:ascii="Times New Roman" w:hAnsi="Times New Roman" w:cs="Times New Roman"/>
        </w:rPr>
        <w:t>Initially, the e-wallet will focus on integrating four priority use cases vital for everyday interactions between citizens, residents, and public administration: (i) Birth and marriage certificates, essential for legal identification and civil registration; (ii) Health insurance cards, facilitating efficient access to healthcare services; (iii) Driver’s licenses and vehicle registrations, ensuring secure verification during routine traffic interactions; (iv) Documentation for foreign nationals, simplifying residence and work permit processes and enhancing mobility and integration.</w:t>
      </w:r>
    </w:p>
    <w:p w14:paraId="51FFE6E1" w14:textId="5504F8DC" w:rsidR="007A4DC9" w:rsidRPr="00D03F03" w:rsidRDefault="006515F2" w:rsidP="006515F2">
      <w:pPr>
        <w:jc w:val="both"/>
        <w:rPr>
          <w:rFonts w:ascii="Times New Roman" w:hAnsi="Times New Roman" w:cs="Times New Roman"/>
        </w:rPr>
      </w:pPr>
      <w:r w:rsidRPr="006515F2">
        <w:rPr>
          <w:rFonts w:ascii="Times New Roman" w:hAnsi="Times New Roman" w:cs="Times New Roman"/>
        </w:rPr>
        <w:t>To facilitate these use cases effectively, a thorough legal review of Serbia's legislative and regulatory framework is essential. This review will identify gaps, barriers, and propose necessary legislative adjustments to enable the implementation and operation of the e-wallet, aligned with eIDAS2 requirements.</w:t>
      </w:r>
    </w:p>
    <w:p w14:paraId="61491995" w14:textId="272C8585" w:rsidR="007A4DC9" w:rsidRPr="00D03F03" w:rsidRDefault="007A4DC9" w:rsidP="005120EC">
      <w:pPr>
        <w:pStyle w:val="Heading1"/>
      </w:pPr>
      <w:r w:rsidRPr="00D03F03">
        <w:t>Objectives</w:t>
      </w:r>
    </w:p>
    <w:p w14:paraId="4C696945" w14:textId="1040D6E6" w:rsidR="007A4DC9" w:rsidRPr="001F3C3D" w:rsidRDefault="006515F2" w:rsidP="001F3C3D">
      <w:pPr>
        <w:jc w:val="both"/>
        <w:rPr>
          <w:rFonts w:ascii="Times New Roman" w:hAnsi="Times New Roman" w:cs="Times New Roman"/>
        </w:rPr>
      </w:pPr>
      <w:bookmarkStart w:id="1" w:name="_Hlk192023377"/>
      <w:r w:rsidRPr="006515F2">
        <w:rPr>
          <w:rFonts w:ascii="Times New Roman" w:hAnsi="Times New Roman" w:cs="Times New Roman"/>
        </w:rPr>
        <w:t>The primary objective of this assignment is to conduct an in-depth legal review of Serbian legislation relevant to the implementation and operation of an e-wallet system, specifically targeting the above-mentioned priority use cases. This involves assessing sector-specific legislation, bylaws, and government decisions to identify existing legal gaps, inconsistencies, or barriers to the digitization and integration of these services. Additionally, the legal review will ensure compliance and alignment with eIDAS2 standards, while facilitating the practical implementation of the four priority use cases.</w:t>
      </w:r>
    </w:p>
    <w:bookmarkEnd w:id="1"/>
    <w:p w14:paraId="15A8A985" w14:textId="46D78165" w:rsidR="007A4DC9" w:rsidRPr="00B06B25" w:rsidRDefault="007A4DC9" w:rsidP="005120EC">
      <w:pPr>
        <w:pStyle w:val="Heading1"/>
      </w:pPr>
      <w:r w:rsidRPr="00B06B25">
        <w:t>Scope and Phases</w:t>
      </w:r>
    </w:p>
    <w:p w14:paraId="0180C75F" w14:textId="45E04CBA" w:rsidR="006515F2" w:rsidRPr="006515F2" w:rsidRDefault="006515F2" w:rsidP="006515F2">
      <w:pPr>
        <w:pStyle w:val="Bulit"/>
        <w:rPr>
          <w:rFonts w:eastAsiaTheme="minorHAnsi" w:cs="Times New Roman"/>
          <w:bCs w:val="0"/>
          <w:szCs w:val="22"/>
          <w:bdr w:val="none" w:sz="0" w:space="0" w:color="auto"/>
        </w:rPr>
      </w:pPr>
      <w:r w:rsidRPr="006515F2">
        <w:rPr>
          <w:rFonts w:eastAsiaTheme="minorHAnsi" w:cs="Times New Roman"/>
          <w:bCs w:val="0"/>
          <w:szCs w:val="22"/>
          <w:bdr w:val="none" w:sz="0" w:space="0" w:color="auto"/>
        </w:rPr>
        <w:t xml:space="preserve">The consulting firm is expected to conduct an in-depth legal analysis covering specific Serbian laws, regulations, bylaws, and relevant government decisions associated with the identified priority use cases. Initially, the firm will perform a detailed examination of legislation related to civil registration for birth and marriage certificates, healthcare regulations and insurance provisions, traffic and transportation legislation applicable to driver’s licenses and vehicle registrations, and immigration and residence policies affecting foreign nationals.   </w:t>
      </w:r>
    </w:p>
    <w:p w14:paraId="2F9C1524" w14:textId="616EFAA2" w:rsidR="006515F2" w:rsidRPr="006515F2" w:rsidRDefault="006515F2" w:rsidP="006515F2">
      <w:pPr>
        <w:pStyle w:val="Bulit"/>
        <w:rPr>
          <w:rFonts w:eastAsiaTheme="minorHAnsi" w:cs="Times New Roman"/>
          <w:bCs w:val="0"/>
          <w:szCs w:val="22"/>
          <w:bdr w:val="none" w:sz="0" w:space="0" w:color="auto"/>
        </w:rPr>
      </w:pPr>
      <w:r w:rsidRPr="006515F2">
        <w:rPr>
          <w:rFonts w:eastAsiaTheme="minorHAnsi" w:cs="Times New Roman"/>
          <w:bCs w:val="0"/>
          <w:szCs w:val="22"/>
          <w:bdr w:val="none" w:sz="0" w:space="0" w:color="auto"/>
        </w:rPr>
        <w:t>Following the initial analysis, the firm will evaluate existing legal provisions within these sectors related to digital identity, electronic transactions, data protection, cybersecurity, and trust services. This assessment will identify specific legislative barriers or gaps that hinder the digitization and integration of these priority services into the e-wallet.</w:t>
      </w:r>
    </w:p>
    <w:p w14:paraId="4FAC0FB6" w14:textId="77777777" w:rsidR="00026335" w:rsidRPr="00854F7A" w:rsidRDefault="006515F2" w:rsidP="00026335">
      <w:pPr>
        <w:pStyle w:val="Bulit"/>
        <w:rPr>
          <w:rFonts w:eastAsia="Times New Roman" w:cstheme="majorBidi"/>
        </w:rPr>
      </w:pPr>
      <w:r w:rsidRPr="006515F2">
        <w:rPr>
          <w:rFonts w:eastAsiaTheme="minorHAnsi" w:cs="Times New Roman"/>
          <w:bCs w:val="0"/>
          <w:szCs w:val="22"/>
          <w:bdr w:val="none" w:sz="0" w:space="0" w:color="auto"/>
        </w:rPr>
        <w:t xml:space="preserve">Furthermore, the consulting firm will assess the alignment of Serbian legislation with eIDAS2, international standards, and best practices. Recommendations for detailed legislative amendments will be formulated, clearly specifying changes necessary to eliminate identified barriers, ensure interoperability, maintain high security standards, and facilitate effective and compliant implementation of the e-wallet system across the defined priority use cases. </w:t>
      </w:r>
    </w:p>
    <w:p w14:paraId="442C89E2" w14:textId="7E75B959" w:rsidR="001F3C3D" w:rsidRPr="00854F7A" w:rsidRDefault="00026335" w:rsidP="00026335">
      <w:pPr>
        <w:pStyle w:val="Bulit"/>
        <w:rPr>
          <w:rFonts w:eastAsia="Times New Roman" w:cstheme="majorBidi"/>
        </w:rPr>
      </w:pPr>
      <w:r w:rsidRPr="00026335">
        <w:rPr>
          <w:rFonts w:eastAsiaTheme="minorHAnsi" w:cs="Times New Roman"/>
          <w:bCs w:val="0"/>
          <w:szCs w:val="22"/>
          <w:bdr w:val="none" w:sz="0" w:space="0" w:color="auto"/>
        </w:rPr>
        <w:t>Preparation of amendments to regulations that need to be changed on a turnkey basis.</w:t>
      </w:r>
    </w:p>
    <w:p w14:paraId="7BEE1AC6" w14:textId="2E7D89A8" w:rsidR="00026335" w:rsidRPr="00026335" w:rsidRDefault="00026335" w:rsidP="00026335">
      <w:pPr>
        <w:pStyle w:val="Bulit"/>
        <w:rPr>
          <w:rFonts w:eastAsia="Times New Roman" w:cstheme="majorBidi"/>
        </w:rPr>
      </w:pPr>
      <w:r w:rsidRPr="00026335">
        <w:rPr>
          <w:rFonts w:eastAsia="Times New Roman" w:cstheme="majorBidi"/>
        </w:rPr>
        <w:lastRenderedPageBreak/>
        <w:t xml:space="preserve">Support the working group for the establishment of a </w:t>
      </w:r>
      <w:r w:rsidR="007B5F3A">
        <w:rPr>
          <w:rFonts w:eastAsia="Times New Roman" w:cstheme="majorBidi"/>
        </w:rPr>
        <w:t>D</w:t>
      </w:r>
      <w:r w:rsidRPr="00026335">
        <w:rPr>
          <w:rFonts w:eastAsia="Times New Roman" w:cstheme="majorBidi"/>
        </w:rPr>
        <w:t xml:space="preserve">igital ID wallet </w:t>
      </w:r>
      <w:r w:rsidR="006A28D1">
        <w:rPr>
          <w:rFonts w:eastAsia="Times New Roman" w:cstheme="majorBidi"/>
        </w:rPr>
        <w:t xml:space="preserve">in </w:t>
      </w:r>
      <w:r w:rsidR="006A28D1" w:rsidRPr="00026335">
        <w:rPr>
          <w:rFonts w:eastAsia="Times New Roman" w:cstheme="majorBidi"/>
        </w:rPr>
        <w:t>preparation</w:t>
      </w:r>
      <w:r w:rsidRPr="00026335">
        <w:rPr>
          <w:rFonts w:eastAsia="Times New Roman" w:cstheme="majorBidi"/>
        </w:rPr>
        <w:t xml:space="preserve"> of a regulatory framework for </w:t>
      </w:r>
      <w:r w:rsidR="007B5F3A">
        <w:rPr>
          <w:rFonts w:eastAsia="Times New Roman" w:cstheme="majorBidi"/>
        </w:rPr>
        <w:t>D</w:t>
      </w:r>
      <w:r w:rsidR="007B5F3A" w:rsidRPr="00026335">
        <w:rPr>
          <w:rFonts w:eastAsia="Times New Roman" w:cstheme="majorBidi"/>
        </w:rPr>
        <w:t xml:space="preserve">igital ID wallet </w:t>
      </w:r>
      <w:r w:rsidRPr="00026335">
        <w:rPr>
          <w:rFonts w:eastAsia="Times New Roman" w:cstheme="majorBidi"/>
        </w:rPr>
        <w:t>establishment.</w:t>
      </w:r>
    </w:p>
    <w:p w14:paraId="2D0CCE10" w14:textId="42407E99" w:rsidR="002B3A7A" w:rsidRPr="002B3A7A" w:rsidRDefault="002B3A7A" w:rsidP="007401CE">
      <w:pPr>
        <w:pStyle w:val="Heading1"/>
      </w:pPr>
      <w:r w:rsidRPr="002B3A7A">
        <w:t>Timeframe and duration</w:t>
      </w:r>
    </w:p>
    <w:p w14:paraId="3AA828A1" w14:textId="3AE29FA7" w:rsidR="00C22242" w:rsidRPr="00C22242" w:rsidRDefault="003024AD" w:rsidP="00C22242">
      <w:pPr>
        <w:jc w:val="both"/>
        <w:rPr>
          <w:rFonts w:ascii="Times New Roman" w:hAnsi="Times New Roman" w:cs="Times New Roman"/>
        </w:rPr>
      </w:pPr>
      <w:r w:rsidRPr="003024AD">
        <w:rPr>
          <w:rFonts w:ascii="Times New Roman" w:hAnsi="Times New Roman" w:cs="Times New Roman"/>
        </w:rPr>
        <w:t xml:space="preserve">The Consultant shall provide services under lump sum Contract paid upon acceptance of deliverables. The Consultant shall perform the Services </w:t>
      </w:r>
      <w:r w:rsidR="00C22242" w:rsidRPr="00C22242">
        <w:rPr>
          <w:rFonts w:ascii="Times New Roman" w:hAnsi="Times New Roman" w:cs="Times New Roman"/>
        </w:rPr>
        <w:t xml:space="preserve">over </w:t>
      </w:r>
      <w:r w:rsidR="006515F2">
        <w:rPr>
          <w:rFonts w:ascii="Times New Roman" w:hAnsi="Times New Roman" w:cs="Times New Roman"/>
        </w:rPr>
        <w:t>5</w:t>
      </w:r>
      <w:r w:rsidR="00C22242" w:rsidRPr="00C22242">
        <w:rPr>
          <w:rFonts w:ascii="Times New Roman" w:hAnsi="Times New Roman" w:cs="Times New Roman"/>
        </w:rPr>
        <w:t xml:space="preserve"> </w:t>
      </w:r>
      <w:r>
        <w:rPr>
          <w:rFonts w:ascii="Times New Roman" w:hAnsi="Times New Roman" w:cs="Times New Roman"/>
        </w:rPr>
        <w:t xml:space="preserve">(five) </w:t>
      </w:r>
      <w:r w:rsidR="00C22242" w:rsidRPr="00C22242">
        <w:rPr>
          <w:rFonts w:ascii="Times New Roman" w:hAnsi="Times New Roman" w:cs="Times New Roman"/>
        </w:rPr>
        <w:t>months</w:t>
      </w:r>
      <w:r w:rsidR="00B97DA5">
        <w:rPr>
          <w:rFonts w:ascii="Times New Roman" w:hAnsi="Times New Roman" w:cs="Times New Roman"/>
        </w:rPr>
        <w:t>, approximately</w:t>
      </w:r>
      <w:r w:rsidR="006515F2">
        <w:rPr>
          <w:rFonts w:ascii="Times New Roman" w:hAnsi="Times New Roman" w:cs="Times New Roman"/>
        </w:rPr>
        <w:t>.</w:t>
      </w:r>
      <w:r w:rsidR="00C22242" w:rsidRPr="00C22242">
        <w:rPr>
          <w:rFonts w:ascii="Times New Roman" w:hAnsi="Times New Roman" w:cs="Times New Roman"/>
        </w:rPr>
        <w:t xml:space="preserve"> </w:t>
      </w:r>
    </w:p>
    <w:p w14:paraId="309676AF" w14:textId="6E6AFCD5" w:rsidR="007A4DC9" w:rsidRPr="007401CE" w:rsidRDefault="007A4DC9" w:rsidP="007401CE">
      <w:pPr>
        <w:pStyle w:val="Heading1"/>
      </w:pPr>
      <w:r w:rsidRPr="007401CE">
        <w:t>Deliverables</w:t>
      </w:r>
    </w:p>
    <w:tbl>
      <w:tblPr>
        <w:tblStyle w:val="TableGrid"/>
        <w:tblW w:w="0" w:type="auto"/>
        <w:jc w:val="center"/>
        <w:tblLook w:val="04A0" w:firstRow="1" w:lastRow="0" w:firstColumn="1" w:lastColumn="0" w:noHBand="0" w:noVBand="1"/>
      </w:tblPr>
      <w:tblGrid>
        <w:gridCol w:w="413"/>
        <w:gridCol w:w="6231"/>
        <w:gridCol w:w="1382"/>
      </w:tblGrid>
      <w:tr w:rsidR="00C47583" w:rsidRPr="00F2602E" w14:paraId="5B9ECA88" w14:textId="77777777" w:rsidTr="00811754">
        <w:trPr>
          <w:jc w:val="center"/>
        </w:trPr>
        <w:tc>
          <w:tcPr>
            <w:tcW w:w="413" w:type="dxa"/>
          </w:tcPr>
          <w:p w14:paraId="1FF14306" w14:textId="795DF6AC" w:rsidR="00C47583" w:rsidRPr="009D3FE8" w:rsidRDefault="00C47583" w:rsidP="00F2602E">
            <w:pPr>
              <w:rPr>
                <w:rFonts w:ascii="Times New Roman" w:hAnsi="Times New Roman" w:cs="Times New Roman"/>
              </w:rPr>
            </w:pPr>
            <w:r w:rsidRPr="009D3FE8">
              <w:rPr>
                <w:rFonts w:ascii="Times New Roman" w:hAnsi="Times New Roman" w:cs="Times New Roman"/>
              </w:rPr>
              <w:t>#</w:t>
            </w:r>
          </w:p>
        </w:tc>
        <w:tc>
          <w:tcPr>
            <w:tcW w:w="6231" w:type="dxa"/>
          </w:tcPr>
          <w:p w14:paraId="05A51287" w14:textId="685E8D2D" w:rsidR="00C47583" w:rsidRPr="009D3FE8" w:rsidRDefault="00C47583" w:rsidP="00F2602E">
            <w:pPr>
              <w:rPr>
                <w:rFonts w:ascii="Times New Roman" w:hAnsi="Times New Roman" w:cs="Times New Roman"/>
              </w:rPr>
            </w:pPr>
            <w:r>
              <w:rPr>
                <w:rFonts w:ascii="Times New Roman" w:hAnsi="Times New Roman" w:cs="Times New Roman"/>
              </w:rPr>
              <w:t>Description</w:t>
            </w:r>
          </w:p>
        </w:tc>
        <w:tc>
          <w:tcPr>
            <w:tcW w:w="1382" w:type="dxa"/>
          </w:tcPr>
          <w:p w14:paraId="28C47440" w14:textId="43EFF200" w:rsidR="00C47583" w:rsidRPr="009D3FE8" w:rsidRDefault="00C47583" w:rsidP="00F2602E">
            <w:pPr>
              <w:rPr>
                <w:rFonts w:ascii="Times New Roman" w:hAnsi="Times New Roman" w:cs="Times New Roman"/>
              </w:rPr>
            </w:pPr>
            <w:r>
              <w:rPr>
                <w:rFonts w:ascii="Times New Roman" w:hAnsi="Times New Roman" w:cs="Times New Roman"/>
              </w:rPr>
              <w:t>Deadline</w:t>
            </w:r>
          </w:p>
        </w:tc>
      </w:tr>
      <w:tr w:rsidR="006515F2" w:rsidRPr="00F2602E" w14:paraId="08CE6EA2" w14:textId="77777777" w:rsidTr="00811754">
        <w:trPr>
          <w:jc w:val="center"/>
        </w:trPr>
        <w:tc>
          <w:tcPr>
            <w:tcW w:w="413" w:type="dxa"/>
          </w:tcPr>
          <w:p w14:paraId="75CCA2A3" w14:textId="01A7FC02" w:rsidR="006515F2" w:rsidRPr="009D3FE8" w:rsidRDefault="006515F2" w:rsidP="006515F2">
            <w:pPr>
              <w:rPr>
                <w:rFonts w:ascii="Times New Roman" w:hAnsi="Times New Roman" w:cs="Times New Roman"/>
              </w:rPr>
            </w:pPr>
            <w:r>
              <w:rPr>
                <w:rFonts w:ascii="Times New Roman" w:hAnsi="Times New Roman" w:cs="Times New Roman"/>
              </w:rPr>
              <w:t>1</w:t>
            </w:r>
          </w:p>
        </w:tc>
        <w:tc>
          <w:tcPr>
            <w:tcW w:w="6231" w:type="dxa"/>
          </w:tcPr>
          <w:p w14:paraId="4688423F" w14:textId="1B5D3A4A" w:rsidR="006515F2" w:rsidRPr="00D12145" w:rsidRDefault="006515F2" w:rsidP="006515F2">
            <w:pPr>
              <w:spacing w:after="160" w:line="259" w:lineRule="auto"/>
              <w:jc w:val="both"/>
              <w:rPr>
                <w:rFonts w:ascii="Times New Roman" w:hAnsi="Times New Roman" w:cs="Times New Roman"/>
              </w:rPr>
            </w:pPr>
            <w:r w:rsidRPr="006515F2">
              <w:rPr>
                <w:rFonts w:ascii="Times New Roman" w:hAnsi="Times New Roman" w:cs="Times New Roman"/>
              </w:rPr>
              <w:t>An inception report clearly detailing the proposed methodology, comprehensive work plan, timelines, and strategy for stakeholder engagement.</w:t>
            </w:r>
          </w:p>
        </w:tc>
        <w:tc>
          <w:tcPr>
            <w:tcW w:w="1382" w:type="dxa"/>
          </w:tcPr>
          <w:p w14:paraId="74624E9D" w14:textId="2ED9AF77" w:rsidR="006515F2" w:rsidRPr="006515F2" w:rsidRDefault="006515F2" w:rsidP="006515F2">
            <w:pPr>
              <w:spacing w:after="160" w:line="259" w:lineRule="auto"/>
              <w:jc w:val="both"/>
              <w:rPr>
                <w:rFonts w:ascii="Times New Roman" w:hAnsi="Times New Roman" w:cs="Times New Roman"/>
                <w:sz w:val="20"/>
                <w:szCs w:val="20"/>
              </w:rPr>
            </w:pPr>
            <w:r w:rsidRPr="006515F2">
              <w:rPr>
                <w:rFonts w:ascii="Times New Roman" w:hAnsi="Times New Roman" w:cs="Times New Roman"/>
                <w:sz w:val="20"/>
                <w:szCs w:val="20"/>
              </w:rPr>
              <w:t>2 (two) weeks after contract signing</w:t>
            </w:r>
          </w:p>
        </w:tc>
      </w:tr>
      <w:tr w:rsidR="006515F2" w:rsidRPr="00F2602E" w14:paraId="0844917B" w14:textId="77777777" w:rsidTr="00811754">
        <w:trPr>
          <w:jc w:val="center"/>
        </w:trPr>
        <w:tc>
          <w:tcPr>
            <w:tcW w:w="413" w:type="dxa"/>
          </w:tcPr>
          <w:p w14:paraId="7276FDD0" w14:textId="247B98B8" w:rsidR="006515F2" w:rsidRPr="009D3FE8" w:rsidRDefault="006515F2" w:rsidP="006515F2">
            <w:pPr>
              <w:rPr>
                <w:rFonts w:ascii="Times New Roman" w:hAnsi="Times New Roman" w:cs="Times New Roman"/>
              </w:rPr>
            </w:pPr>
            <w:r>
              <w:rPr>
                <w:rFonts w:ascii="Times New Roman" w:hAnsi="Times New Roman" w:cs="Times New Roman"/>
              </w:rPr>
              <w:t>2</w:t>
            </w:r>
          </w:p>
        </w:tc>
        <w:tc>
          <w:tcPr>
            <w:tcW w:w="6231" w:type="dxa"/>
          </w:tcPr>
          <w:p w14:paraId="59F400E8" w14:textId="1406E155" w:rsidR="006515F2" w:rsidRPr="00D12145" w:rsidRDefault="006515F2" w:rsidP="006515F2">
            <w:pPr>
              <w:spacing w:after="160" w:line="259" w:lineRule="auto"/>
              <w:jc w:val="both"/>
              <w:rPr>
                <w:rFonts w:ascii="Times New Roman" w:hAnsi="Times New Roman" w:cs="Times New Roman"/>
              </w:rPr>
            </w:pPr>
            <w:r w:rsidRPr="006515F2">
              <w:rPr>
                <w:rFonts w:ascii="Times New Roman" w:hAnsi="Times New Roman" w:cs="Times New Roman"/>
              </w:rPr>
              <w:t>A detailed legal review report identifying and articulating specific legislative barriers and gaps, accompanied by sector-specific, actionable recommendations aligned with eIDAS2 standards.</w:t>
            </w:r>
          </w:p>
        </w:tc>
        <w:tc>
          <w:tcPr>
            <w:tcW w:w="1382" w:type="dxa"/>
          </w:tcPr>
          <w:p w14:paraId="00D3B74D" w14:textId="108C3DE6" w:rsidR="006515F2" w:rsidRPr="006515F2" w:rsidRDefault="006515F2" w:rsidP="006515F2">
            <w:pPr>
              <w:spacing w:after="160" w:line="259" w:lineRule="auto"/>
              <w:jc w:val="both"/>
              <w:rPr>
                <w:rFonts w:ascii="Times New Roman" w:hAnsi="Times New Roman" w:cs="Times New Roman"/>
                <w:sz w:val="20"/>
                <w:szCs w:val="20"/>
              </w:rPr>
            </w:pPr>
            <w:r w:rsidRPr="006515F2">
              <w:rPr>
                <w:rFonts w:ascii="Times New Roman" w:hAnsi="Times New Roman" w:cs="Times New Roman"/>
                <w:sz w:val="20"/>
                <w:szCs w:val="20"/>
              </w:rPr>
              <w:t>6 (six) weeks after contract signing</w:t>
            </w:r>
          </w:p>
        </w:tc>
      </w:tr>
      <w:tr w:rsidR="006515F2" w:rsidRPr="00F2602E" w14:paraId="3A4B6492" w14:textId="77777777" w:rsidTr="00811754">
        <w:trPr>
          <w:jc w:val="center"/>
        </w:trPr>
        <w:tc>
          <w:tcPr>
            <w:tcW w:w="413" w:type="dxa"/>
          </w:tcPr>
          <w:p w14:paraId="498DD9CD" w14:textId="349E82F8" w:rsidR="006515F2" w:rsidRPr="009D3FE8" w:rsidRDefault="006515F2" w:rsidP="006515F2">
            <w:pPr>
              <w:rPr>
                <w:rFonts w:ascii="Times New Roman" w:hAnsi="Times New Roman" w:cs="Times New Roman"/>
              </w:rPr>
            </w:pPr>
            <w:r>
              <w:rPr>
                <w:rFonts w:ascii="Times New Roman" w:hAnsi="Times New Roman" w:cs="Times New Roman"/>
              </w:rPr>
              <w:t>3</w:t>
            </w:r>
          </w:p>
        </w:tc>
        <w:tc>
          <w:tcPr>
            <w:tcW w:w="6231" w:type="dxa"/>
          </w:tcPr>
          <w:p w14:paraId="61E95733" w14:textId="6A0DE49A" w:rsidR="006515F2" w:rsidRPr="00D12145" w:rsidRDefault="006515F2" w:rsidP="006515F2">
            <w:pPr>
              <w:spacing w:after="160" w:line="259" w:lineRule="auto"/>
              <w:jc w:val="both"/>
              <w:rPr>
                <w:rFonts w:ascii="Times New Roman" w:hAnsi="Times New Roman" w:cs="Times New Roman"/>
              </w:rPr>
            </w:pPr>
            <w:r w:rsidRPr="006515F2">
              <w:rPr>
                <w:rFonts w:ascii="Times New Roman" w:hAnsi="Times New Roman" w:cs="Times New Roman"/>
              </w:rPr>
              <w:t>A final consolidated legal review report incorporating stakeholder feedback and providing refined, detailed legislative recommendations specifically targeting the identified priority use cases.</w:t>
            </w:r>
          </w:p>
        </w:tc>
        <w:tc>
          <w:tcPr>
            <w:tcW w:w="1382" w:type="dxa"/>
          </w:tcPr>
          <w:p w14:paraId="4FC3358A" w14:textId="077DB426" w:rsidR="006515F2" w:rsidRPr="006515F2" w:rsidRDefault="006515F2" w:rsidP="006515F2">
            <w:pPr>
              <w:spacing w:after="160" w:line="259" w:lineRule="auto"/>
              <w:jc w:val="both"/>
              <w:rPr>
                <w:rFonts w:ascii="Times New Roman" w:hAnsi="Times New Roman" w:cs="Times New Roman"/>
                <w:sz w:val="20"/>
                <w:szCs w:val="20"/>
              </w:rPr>
            </w:pPr>
            <w:r w:rsidRPr="006515F2">
              <w:rPr>
                <w:rFonts w:ascii="Times New Roman" w:hAnsi="Times New Roman" w:cs="Times New Roman"/>
                <w:sz w:val="20"/>
                <w:szCs w:val="20"/>
              </w:rPr>
              <w:t>10 (ten) weeks after contract signing</w:t>
            </w:r>
          </w:p>
        </w:tc>
      </w:tr>
      <w:tr w:rsidR="006515F2" w:rsidRPr="00F2602E" w14:paraId="5F48486D" w14:textId="77777777" w:rsidTr="00811754">
        <w:trPr>
          <w:jc w:val="center"/>
        </w:trPr>
        <w:tc>
          <w:tcPr>
            <w:tcW w:w="413" w:type="dxa"/>
          </w:tcPr>
          <w:p w14:paraId="3CAD3766" w14:textId="1B5EF91B" w:rsidR="006515F2" w:rsidRDefault="006515F2" w:rsidP="006515F2">
            <w:pPr>
              <w:rPr>
                <w:rFonts w:ascii="Times New Roman" w:hAnsi="Times New Roman" w:cs="Times New Roman"/>
              </w:rPr>
            </w:pPr>
            <w:r>
              <w:rPr>
                <w:rFonts w:ascii="Times New Roman" w:hAnsi="Times New Roman" w:cs="Times New Roman"/>
              </w:rPr>
              <w:t>4</w:t>
            </w:r>
          </w:p>
        </w:tc>
        <w:tc>
          <w:tcPr>
            <w:tcW w:w="6231" w:type="dxa"/>
          </w:tcPr>
          <w:p w14:paraId="5C3311D4" w14:textId="7D059A66" w:rsidR="006515F2" w:rsidRPr="00D12145" w:rsidRDefault="006515F2" w:rsidP="006515F2">
            <w:pPr>
              <w:spacing w:after="160" w:line="259" w:lineRule="auto"/>
              <w:jc w:val="both"/>
              <w:rPr>
                <w:rFonts w:ascii="Times New Roman" w:hAnsi="Times New Roman" w:cs="Times New Roman"/>
              </w:rPr>
            </w:pPr>
            <w:r w:rsidRPr="006515F2">
              <w:rPr>
                <w:rFonts w:ascii="Times New Roman" w:hAnsi="Times New Roman" w:cs="Times New Roman"/>
              </w:rPr>
              <w:t>A detailed comparative analysis of the European experiences of developed and emerging digital wallets, with an overview of the challenges faced by the project teams</w:t>
            </w:r>
            <w:r w:rsidR="00026335">
              <w:t xml:space="preserve"> </w:t>
            </w:r>
            <w:r w:rsidR="00026335" w:rsidRPr="00026335">
              <w:rPr>
                <w:rFonts w:ascii="Times New Roman" w:hAnsi="Times New Roman" w:cs="Times New Roman"/>
              </w:rPr>
              <w:t>with a proposal of provisions that need to be changed in the regulations under the turnkey system</w:t>
            </w:r>
            <w:r w:rsidRPr="006515F2">
              <w:rPr>
                <w:rFonts w:ascii="Times New Roman" w:hAnsi="Times New Roman" w:cs="Times New Roman"/>
              </w:rPr>
              <w:t>.</w:t>
            </w:r>
          </w:p>
        </w:tc>
        <w:tc>
          <w:tcPr>
            <w:tcW w:w="1382" w:type="dxa"/>
          </w:tcPr>
          <w:p w14:paraId="2E3FE0B0" w14:textId="2C79738B" w:rsidR="006515F2" w:rsidRPr="006515F2" w:rsidRDefault="006515F2" w:rsidP="006515F2">
            <w:pPr>
              <w:spacing w:after="160" w:line="259" w:lineRule="auto"/>
              <w:jc w:val="both"/>
              <w:rPr>
                <w:rFonts w:ascii="Times New Roman" w:hAnsi="Times New Roman" w:cs="Times New Roman"/>
                <w:sz w:val="20"/>
                <w:szCs w:val="20"/>
              </w:rPr>
            </w:pPr>
            <w:r w:rsidRPr="006515F2">
              <w:rPr>
                <w:rFonts w:ascii="Times New Roman" w:hAnsi="Times New Roman" w:cs="Times New Roman"/>
                <w:sz w:val="20"/>
                <w:szCs w:val="20"/>
              </w:rPr>
              <w:t>1</w:t>
            </w:r>
            <w:r w:rsidR="006A28D1">
              <w:rPr>
                <w:rFonts w:ascii="Times New Roman" w:hAnsi="Times New Roman" w:cs="Times New Roman"/>
                <w:sz w:val="20"/>
                <w:szCs w:val="20"/>
              </w:rPr>
              <w:t>4</w:t>
            </w:r>
            <w:r w:rsidRPr="006515F2">
              <w:rPr>
                <w:rFonts w:ascii="Times New Roman" w:hAnsi="Times New Roman" w:cs="Times New Roman"/>
                <w:sz w:val="20"/>
                <w:szCs w:val="20"/>
              </w:rPr>
              <w:t xml:space="preserve"> (</w:t>
            </w:r>
            <w:r w:rsidR="006A28D1">
              <w:rPr>
                <w:rFonts w:ascii="Times New Roman" w:hAnsi="Times New Roman" w:cs="Times New Roman"/>
                <w:sz w:val="20"/>
                <w:szCs w:val="20"/>
              </w:rPr>
              <w:t>fourteen</w:t>
            </w:r>
            <w:r w:rsidRPr="006515F2">
              <w:rPr>
                <w:rFonts w:ascii="Times New Roman" w:hAnsi="Times New Roman" w:cs="Times New Roman"/>
                <w:sz w:val="20"/>
                <w:szCs w:val="20"/>
              </w:rPr>
              <w:t>) weeks after contract signing</w:t>
            </w:r>
          </w:p>
        </w:tc>
      </w:tr>
      <w:tr w:rsidR="00026335" w:rsidRPr="00F2602E" w14:paraId="2CFC1688" w14:textId="77777777" w:rsidTr="00811754">
        <w:trPr>
          <w:jc w:val="center"/>
        </w:trPr>
        <w:tc>
          <w:tcPr>
            <w:tcW w:w="413" w:type="dxa"/>
          </w:tcPr>
          <w:p w14:paraId="12408183" w14:textId="3AE290E8" w:rsidR="00026335" w:rsidRPr="00854F7A" w:rsidRDefault="00026335" w:rsidP="006515F2">
            <w:pPr>
              <w:rPr>
                <w:rFonts w:ascii="Times New Roman" w:hAnsi="Times New Roman" w:cs="Times New Roman"/>
                <w:lang w:val="sr-Cyrl-RS"/>
              </w:rPr>
            </w:pPr>
            <w:r>
              <w:rPr>
                <w:rFonts w:ascii="Times New Roman" w:hAnsi="Times New Roman" w:cs="Times New Roman"/>
                <w:lang w:val="sr-Cyrl-RS"/>
              </w:rPr>
              <w:t>5.</w:t>
            </w:r>
          </w:p>
        </w:tc>
        <w:tc>
          <w:tcPr>
            <w:tcW w:w="6231" w:type="dxa"/>
          </w:tcPr>
          <w:p w14:paraId="4FB54878" w14:textId="53376490" w:rsidR="00026335" w:rsidRPr="006515F2" w:rsidRDefault="00026335" w:rsidP="006515F2">
            <w:pPr>
              <w:jc w:val="both"/>
              <w:rPr>
                <w:rFonts w:ascii="Times New Roman" w:hAnsi="Times New Roman" w:cs="Times New Roman"/>
              </w:rPr>
            </w:pPr>
            <w:r w:rsidRPr="00026335">
              <w:rPr>
                <w:rFonts w:ascii="Times New Roman" w:hAnsi="Times New Roman" w:cs="Times New Roman"/>
              </w:rPr>
              <w:t xml:space="preserve">Proposal for a legal framework with a normative solution for the establishment of a </w:t>
            </w:r>
            <w:r w:rsidR="00C34FBF">
              <w:rPr>
                <w:rFonts w:ascii="Times New Roman" w:hAnsi="Times New Roman" w:cs="Times New Roman"/>
              </w:rPr>
              <w:t>D</w:t>
            </w:r>
            <w:r w:rsidRPr="00026335">
              <w:rPr>
                <w:rFonts w:ascii="Times New Roman" w:hAnsi="Times New Roman" w:cs="Times New Roman"/>
              </w:rPr>
              <w:t>igital ID wallet</w:t>
            </w:r>
          </w:p>
        </w:tc>
        <w:tc>
          <w:tcPr>
            <w:tcW w:w="1382" w:type="dxa"/>
          </w:tcPr>
          <w:p w14:paraId="78AA012D" w14:textId="7AA98097" w:rsidR="00026335" w:rsidRPr="006515F2" w:rsidRDefault="00026335" w:rsidP="006515F2">
            <w:pPr>
              <w:jc w:val="both"/>
              <w:rPr>
                <w:rFonts w:ascii="Times New Roman" w:hAnsi="Times New Roman" w:cs="Times New Roman"/>
                <w:sz w:val="20"/>
                <w:szCs w:val="20"/>
              </w:rPr>
            </w:pPr>
            <w:r w:rsidRPr="00026335">
              <w:rPr>
                <w:rFonts w:ascii="Times New Roman" w:hAnsi="Times New Roman" w:cs="Times New Roman"/>
                <w:sz w:val="20"/>
                <w:szCs w:val="20"/>
              </w:rPr>
              <w:t>1</w:t>
            </w:r>
            <w:r w:rsidR="006A28D1">
              <w:rPr>
                <w:rFonts w:ascii="Times New Roman" w:hAnsi="Times New Roman" w:cs="Times New Roman"/>
                <w:sz w:val="20"/>
                <w:szCs w:val="20"/>
              </w:rPr>
              <w:t>8</w:t>
            </w:r>
            <w:r w:rsidRPr="00026335">
              <w:rPr>
                <w:rFonts w:ascii="Times New Roman" w:hAnsi="Times New Roman" w:cs="Times New Roman"/>
                <w:sz w:val="20"/>
                <w:szCs w:val="20"/>
              </w:rPr>
              <w:t xml:space="preserve"> (</w:t>
            </w:r>
            <w:r w:rsidR="006A28D1">
              <w:rPr>
                <w:rFonts w:ascii="Times New Roman" w:hAnsi="Times New Roman" w:cs="Times New Roman"/>
                <w:sz w:val="20"/>
                <w:szCs w:val="20"/>
              </w:rPr>
              <w:t>eighteen</w:t>
            </w:r>
            <w:r w:rsidRPr="00026335">
              <w:rPr>
                <w:rFonts w:ascii="Times New Roman" w:hAnsi="Times New Roman" w:cs="Times New Roman"/>
                <w:sz w:val="20"/>
                <w:szCs w:val="20"/>
              </w:rPr>
              <w:t>) weeks after contract signing</w:t>
            </w:r>
          </w:p>
        </w:tc>
      </w:tr>
    </w:tbl>
    <w:p w14:paraId="7D14BC36" w14:textId="77777777" w:rsidR="009A256B" w:rsidRPr="002B3A7A" w:rsidRDefault="009A256B" w:rsidP="005A20F5">
      <w:pPr>
        <w:rPr>
          <w:rFonts w:ascii="Times New Roman" w:hAnsi="Times New Roman" w:cs="Times New Roman"/>
          <w:highlight w:val="yellow"/>
        </w:rPr>
      </w:pPr>
    </w:p>
    <w:p w14:paraId="2D99300E" w14:textId="1F73BADB" w:rsidR="006C17E0" w:rsidRPr="002B3A7A" w:rsidRDefault="006C17E0" w:rsidP="005A20F5">
      <w:pPr>
        <w:pStyle w:val="Heading1"/>
      </w:pPr>
      <w:r w:rsidRPr="002B3A7A">
        <w:t xml:space="preserve">Consultant Qualifications </w:t>
      </w:r>
    </w:p>
    <w:p w14:paraId="5C52B777" w14:textId="77777777" w:rsidR="006515F2" w:rsidRDefault="006515F2" w:rsidP="00C97E74">
      <w:pPr>
        <w:pStyle w:val="Bulit"/>
        <w:rPr>
          <w:rFonts w:eastAsia="Arial Unicode MS" w:cstheme="majorBidi"/>
        </w:rPr>
      </w:pPr>
      <w:r w:rsidRPr="006515F2">
        <w:rPr>
          <w:rFonts w:eastAsia="Arial Unicode MS" w:cstheme="majorBidi"/>
        </w:rPr>
        <w:t>The consulting firm should possess demonstrated experience in legal a</w:t>
      </w:r>
      <w:bookmarkStart w:id="2" w:name="_Hlk202778705"/>
      <w:r w:rsidRPr="006515F2">
        <w:rPr>
          <w:rFonts w:eastAsia="Arial Unicode MS" w:cstheme="majorBidi"/>
        </w:rPr>
        <w:t>nalysis related to digital services, e-government initiatives, and digital identity frameworks</w:t>
      </w:r>
      <w:bookmarkEnd w:id="2"/>
      <w:r>
        <w:rPr>
          <w:rFonts w:eastAsia="Arial Unicode MS" w:cstheme="majorBidi"/>
        </w:rPr>
        <w:t xml:space="preserve">. </w:t>
      </w:r>
    </w:p>
    <w:p w14:paraId="2B042047" w14:textId="132A6433" w:rsidR="006515F2" w:rsidRDefault="006515F2" w:rsidP="00C97E74">
      <w:pPr>
        <w:pStyle w:val="Bulit"/>
        <w:rPr>
          <w:rFonts w:eastAsia="Arial Unicode MS" w:cstheme="majorBidi"/>
        </w:rPr>
      </w:pPr>
      <w:r>
        <w:rPr>
          <w:rFonts w:eastAsia="Arial Unicode MS" w:cstheme="majorBidi"/>
        </w:rPr>
        <w:t>Experience in legal a</w:t>
      </w:r>
      <w:r w:rsidRPr="006515F2">
        <w:rPr>
          <w:rFonts w:eastAsia="Arial Unicode MS" w:cstheme="majorBidi"/>
        </w:rPr>
        <w:t>nalysis related to digital services, e-government initiatives, and digital identity frameworks</w:t>
      </w:r>
      <w:r>
        <w:rPr>
          <w:rFonts w:eastAsia="Arial Unicode MS" w:cstheme="majorBidi"/>
        </w:rPr>
        <w:t xml:space="preserve"> with a</w:t>
      </w:r>
      <w:r w:rsidRPr="006515F2">
        <w:rPr>
          <w:rFonts w:eastAsia="Arial Unicode MS" w:cstheme="majorBidi"/>
        </w:rPr>
        <w:t>lignm</w:t>
      </w:r>
      <w:r>
        <w:rPr>
          <w:rFonts w:eastAsia="Arial Unicode MS" w:cstheme="majorBidi"/>
        </w:rPr>
        <w:t xml:space="preserve">ent </w:t>
      </w:r>
      <w:r w:rsidRPr="006515F2">
        <w:rPr>
          <w:rFonts w:eastAsia="Arial Unicode MS" w:cstheme="majorBidi"/>
        </w:rPr>
        <w:t>with EU standards such as eIDAS2</w:t>
      </w:r>
      <w:r>
        <w:rPr>
          <w:rFonts w:eastAsia="Arial Unicode MS" w:cstheme="majorBidi"/>
        </w:rPr>
        <w:t xml:space="preserve"> is preferable</w:t>
      </w:r>
      <w:r w:rsidRPr="006515F2">
        <w:rPr>
          <w:rFonts w:eastAsia="Arial Unicode MS" w:cstheme="majorBidi"/>
        </w:rPr>
        <w:t xml:space="preserve">. </w:t>
      </w:r>
    </w:p>
    <w:p w14:paraId="34A349CE" w14:textId="77777777" w:rsidR="00B97DA5" w:rsidRDefault="006515F2" w:rsidP="00C97E74">
      <w:pPr>
        <w:pStyle w:val="Bulit"/>
        <w:rPr>
          <w:rFonts w:eastAsia="Arial Unicode MS" w:cstheme="majorBidi"/>
        </w:rPr>
      </w:pPr>
      <w:r>
        <w:rPr>
          <w:rFonts w:eastAsia="Arial Unicode MS" w:cstheme="majorBidi"/>
        </w:rPr>
        <w:t>T</w:t>
      </w:r>
      <w:r w:rsidRPr="006515F2">
        <w:rPr>
          <w:rFonts w:eastAsia="Arial Unicode MS" w:cstheme="majorBidi"/>
        </w:rPr>
        <w:t xml:space="preserve">he consulting firm should demonstrate </w:t>
      </w:r>
      <w:r>
        <w:rPr>
          <w:rFonts w:eastAsia="Arial Unicode MS" w:cstheme="majorBidi"/>
        </w:rPr>
        <w:t>experience</w:t>
      </w:r>
      <w:r w:rsidRPr="006515F2">
        <w:rPr>
          <w:rFonts w:eastAsia="Arial Unicode MS" w:cstheme="majorBidi"/>
        </w:rPr>
        <w:t xml:space="preserve"> with international best practices in digital identity, data protection, electronic transactions, and EU regulatory frameworks</w:t>
      </w:r>
    </w:p>
    <w:p w14:paraId="38677719" w14:textId="3E633337" w:rsidR="00C97E74" w:rsidRPr="00C97E74" w:rsidRDefault="00B97DA5" w:rsidP="00C97E74">
      <w:pPr>
        <w:pStyle w:val="Bulit"/>
        <w:rPr>
          <w:rFonts w:eastAsia="Arial Unicode MS" w:cstheme="majorBidi"/>
        </w:rPr>
      </w:pPr>
      <w:r>
        <w:rPr>
          <w:rFonts w:eastAsia="Arial Unicode MS" w:cstheme="majorBidi"/>
        </w:rPr>
        <w:t>The consulting firm should demonstrate</w:t>
      </w:r>
      <w:r w:rsidR="006515F2" w:rsidRPr="006515F2">
        <w:rPr>
          <w:rFonts w:eastAsia="Arial Unicode MS" w:cstheme="majorBidi"/>
        </w:rPr>
        <w:t xml:space="preserve"> experience </w:t>
      </w:r>
      <w:r>
        <w:rPr>
          <w:rFonts w:eastAsia="Arial Unicode MS" w:cstheme="majorBidi"/>
        </w:rPr>
        <w:t xml:space="preserve">in </w:t>
      </w:r>
      <w:r w:rsidR="006515F2" w:rsidRPr="006515F2">
        <w:rPr>
          <w:rFonts w:eastAsia="Arial Unicode MS" w:cstheme="majorBidi"/>
        </w:rPr>
        <w:t>working closely with government agencies and public sector stakeholders.</w:t>
      </w:r>
    </w:p>
    <w:p w14:paraId="2F2AE9A3" w14:textId="77777777" w:rsidR="00B97DA5" w:rsidRDefault="00C97E74" w:rsidP="00C97E74">
      <w:pPr>
        <w:pStyle w:val="Bulit"/>
        <w:rPr>
          <w:rFonts w:eastAsia="Arial Unicode MS" w:cstheme="majorBidi"/>
        </w:rPr>
      </w:pPr>
      <w:r w:rsidRPr="00C97E74">
        <w:rPr>
          <w:rFonts w:eastAsia="Arial Unicode MS" w:cstheme="majorBidi"/>
        </w:rPr>
        <w:t>Experience with projects funded by or implemented in partnership with</w:t>
      </w:r>
      <w:r w:rsidR="00B97DA5">
        <w:rPr>
          <w:rFonts w:eastAsia="Arial Unicode MS" w:cstheme="majorBidi"/>
        </w:rPr>
        <w:t xml:space="preserve"> international donors</w:t>
      </w:r>
      <w:r w:rsidRPr="00C97E74">
        <w:rPr>
          <w:rFonts w:eastAsia="Arial Unicode MS" w:cstheme="majorBidi"/>
        </w:rPr>
        <w:t xml:space="preserve"> </w:t>
      </w:r>
      <w:r w:rsidR="00B97DA5">
        <w:rPr>
          <w:rFonts w:eastAsia="Arial Unicode MS" w:cstheme="majorBidi"/>
        </w:rPr>
        <w:t xml:space="preserve">(i.e. </w:t>
      </w:r>
      <w:r w:rsidRPr="00C97E74">
        <w:rPr>
          <w:rFonts w:eastAsia="Arial Unicode MS" w:cstheme="majorBidi"/>
        </w:rPr>
        <w:t>the World Bank</w:t>
      </w:r>
      <w:r w:rsidR="00B97DA5">
        <w:rPr>
          <w:rFonts w:eastAsia="Arial Unicode MS" w:cstheme="majorBidi"/>
        </w:rPr>
        <w:t>)</w:t>
      </w:r>
      <w:r w:rsidRPr="00C97E74">
        <w:rPr>
          <w:rFonts w:eastAsia="Arial Unicode MS" w:cstheme="majorBidi"/>
        </w:rPr>
        <w:t xml:space="preserve">, </w:t>
      </w:r>
      <w:r w:rsidR="00B97DA5" w:rsidRPr="00C97E74">
        <w:rPr>
          <w:rFonts w:eastAsia="Arial Unicode MS" w:cstheme="majorBidi"/>
        </w:rPr>
        <w:t>will be highly advantageous</w:t>
      </w:r>
      <w:r w:rsidR="00B97DA5">
        <w:rPr>
          <w:rFonts w:eastAsia="Arial Unicode MS" w:cstheme="majorBidi"/>
        </w:rPr>
        <w:t>.</w:t>
      </w:r>
      <w:r w:rsidR="00B97DA5" w:rsidRPr="00C97E74">
        <w:rPr>
          <w:rFonts w:eastAsia="Arial Unicode MS" w:cstheme="majorBidi"/>
        </w:rPr>
        <w:t xml:space="preserve"> </w:t>
      </w:r>
    </w:p>
    <w:p w14:paraId="7450C276" w14:textId="2635CA5C" w:rsidR="00C97E74" w:rsidRPr="00C97E74" w:rsidRDefault="00B97DA5" w:rsidP="00C97E74">
      <w:pPr>
        <w:pStyle w:val="Bulit"/>
        <w:rPr>
          <w:rFonts w:eastAsia="Arial Unicode MS" w:cstheme="majorBidi"/>
        </w:rPr>
      </w:pPr>
      <w:r>
        <w:rPr>
          <w:rFonts w:eastAsia="Arial Unicode MS" w:cstheme="majorBidi"/>
        </w:rPr>
        <w:t xml:space="preserve">Experience with </w:t>
      </w:r>
      <w:r w:rsidR="00C97E74" w:rsidRPr="00C97E74">
        <w:rPr>
          <w:rFonts w:eastAsia="Arial Unicode MS" w:cstheme="majorBidi"/>
        </w:rPr>
        <w:t>digital transformation projects in high-income countries</w:t>
      </w:r>
      <w:r>
        <w:rPr>
          <w:rFonts w:eastAsia="Arial Unicode MS" w:cstheme="majorBidi"/>
        </w:rPr>
        <w:t xml:space="preserve"> is preferable</w:t>
      </w:r>
      <w:r w:rsidR="00C97E74" w:rsidRPr="00C97E74">
        <w:rPr>
          <w:rFonts w:eastAsia="Arial Unicode MS" w:cstheme="majorBidi"/>
        </w:rPr>
        <w:t>.</w:t>
      </w:r>
    </w:p>
    <w:p w14:paraId="08E8ABA1" w14:textId="0F83EB3C" w:rsidR="002A2385" w:rsidRPr="00811754" w:rsidRDefault="002A2385" w:rsidP="005A20F5">
      <w:pPr>
        <w:pStyle w:val="Heading1"/>
      </w:pPr>
      <w:r w:rsidRPr="002A2385">
        <w:lastRenderedPageBreak/>
        <w:t>Team and Technical requirements</w:t>
      </w:r>
      <w:r w:rsidRPr="002A2385" w:rsidDel="00BF43E6">
        <w:t xml:space="preserve"> </w:t>
      </w:r>
    </w:p>
    <w:p w14:paraId="13853B1A" w14:textId="6448D8F0" w:rsidR="00B97DA5" w:rsidRDefault="00B97DA5" w:rsidP="00B97DA5">
      <w:pPr>
        <w:pStyle w:val="Heading2"/>
        <w:rPr>
          <w:rFonts w:eastAsia="Arial Unicode MS"/>
          <w:u w:color="000000"/>
          <w:bdr w:val="nil"/>
        </w:rPr>
      </w:pPr>
      <w:r w:rsidRPr="00B97DA5">
        <w:rPr>
          <w:rFonts w:eastAsia="Arial Unicode MS"/>
          <w:u w:color="000000"/>
          <w:bdr w:val="nil"/>
        </w:rPr>
        <w:t xml:space="preserve">Team Leader </w:t>
      </w:r>
    </w:p>
    <w:p w14:paraId="5B0F61A9" w14:textId="78E565F4" w:rsidR="00B97DA5" w:rsidRPr="00B97DA5" w:rsidRDefault="00B97DA5" w:rsidP="00B97DA5">
      <w:pPr>
        <w:pStyle w:val="Bulit"/>
      </w:pPr>
      <w:r w:rsidRPr="00B97DA5">
        <w:t>A qualified legal professional or a seasoned expert with extensive experience in managing legal reviews within complex digital transformation initiatives, possessing strong familiarity with Serbian legislation, eIDAS2 and EU regulatory frameworks.</w:t>
      </w:r>
    </w:p>
    <w:p w14:paraId="0AF78627" w14:textId="77777777" w:rsidR="00B97DA5" w:rsidRDefault="00B97DA5" w:rsidP="00B97DA5">
      <w:pPr>
        <w:pStyle w:val="Heading2"/>
        <w:rPr>
          <w:rFonts w:eastAsia="Arial Unicode MS"/>
          <w:u w:color="000000"/>
          <w:bdr w:val="nil"/>
        </w:rPr>
      </w:pPr>
      <w:r w:rsidRPr="00B97DA5">
        <w:rPr>
          <w:rFonts w:eastAsia="Arial Unicode MS"/>
          <w:u w:color="000000"/>
          <w:bdr w:val="nil"/>
        </w:rPr>
        <w:t xml:space="preserve">Legal Expert(s) </w:t>
      </w:r>
    </w:p>
    <w:p w14:paraId="5C048973" w14:textId="6AFD1ABC" w:rsidR="00B97DA5" w:rsidRPr="00B97DA5" w:rsidRDefault="00B97DA5" w:rsidP="00B97DA5">
      <w:pPr>
        <w:pStyle w:val="Bulit"/>
      </w:pPr>
      <w:r w:rsidRPr="00B97DA5">
        <w:t>At least two qualified lawyers specialized in digital law, electronic identification, data protection regulations (such as GDPR), cybersecurity, trust services, and international/EU regulatory environments.</w:t>
      </w:r>
    </w:p>
    <w:p w14:paraId="510255FB" w14:textId="77777777" w:rsidR="00B97DA5" w:rsidRDefault="00B97DA5" w:rsidP="00B97DA5">
      <w:pPr>
        <w:pStyle w:val="Heading2"/>
        <w:rPr>
          <w:rFonts w:eastAsia="Arial Unicode MS"/>
          <w:u w:color="000000"/>
          <w:bdr w:val="nil"/>
        </w:rPr>
      </w:pPr>
      <w:r w:rsidRPr="00B97DA5">
        <w:rPr>
          <w:rFonts w:eastAsia="Arial Unicode MS"/>
          <w:u w:color="000000"/>
          <w:bdr w:val="nil"/>
        </w:rPr>
        <w:t xml:space="preserve">Digital Identity and E-Wallet Specialist(s) </w:t>
      </w:r>
    </w:p>
    <w:p w14:paraId="3DC79B58" w14:textId="344AB612" w:rsidR="00B97DA5" w:rsidRPr="00B97DA5" w:rsidRDefault="00B97DA5" w:rsidP="00B97DA5">
      <w:pPr>
        <w:pStyle w:val="Bulit"/>
      </w:pPr>
      <w:r w:rsidRPr="00B97DA5">
        <w:t xml:space="preserve">At least </w:t>
      </w:r>
      <w:r w:rsidR="001F0EB3">
        <w:t>one</w:t>
      </w:r>
      <w:r w:rsidR="001F0EB3" w:rsidRPr="00B97DA5">
        <w:t xml:space="preserve"> </w:t>
      </w:r>
      <w:r w:rsidR="006A28D1">
        <w:t xml:space="preserve">(preferably two) </w:t>
      </w:r>
      <w:r w:rsidR="001F0EB3" w:rsidRPr="00B97DA5">
        <w:t>professional</w:t>
      </w:r>
      <w:r w:rsidR="006A28D1">
        <w:t>(s)</w:t>
      </w:r>
      <w:r w:rsidRPr="00B97DA5">
        <w:t xml:space="preserve"> with practical experience in designing and implementing digital identity management systems, specifically e-wallet solutions, with a track record of successful implementations.</w:t>
      </w:r>
    </w:p>
    <w:p w14:paraId="16BE165D" w14:textId="77777777" w:rsidR="00B97DA5" w:rsidRDefault="00B97DA5" w:rsidP="00B97DA5">
      <w:pPr>
        <w:pStyle w:val="Heading2"/>
        <w:rPr>
          <w:rFonts w:eastAsia="Arial Unicode MS"/>
          <w:u w:color="000000"/>
          <w:bdr w:val="nil"/>
        </w:rPr>
      </w:pPr>
      <w:r w:rsidRPr="00B97DA5">
        <w:rPr>
          <w:rFonts w:eastAsia="Arial Unicode MS"/>
          <w:u w:color="000000"/>
          <w:bdr w:val="nil"/>
        </w:rPr>
        <w:t xml:space="preserve">Stakeholder Engagement Expert </w:t>
      </w:r>
    </w:p>
    <w:p w14:paraId="2D9F5690" w14:textId="3B6E6FA6" w:rsidR="00B97DA5" w:rsidRPr="00B97DA5" w:rsidRDefault="00B97DA5" w:rsidP="00B97DA5">
      <w:pPr>
        <w:pStyle w:val="Bulit"/>
      </w:pPr>
      <w:r w:rsidRPr="00B97DA5">
        <w:t>Experienced in designing and executing effective stakeholder consultations, engagement strategies, and communication plans within digital transformation and public sector contexts.</w:t>
      </w:r>
    </w:p>
    <w:p w14:paraId="3DE027C6" w14:textId="19F93819" w:rsidR="002B3A7A" w:rsidRPr="009D3FE8" w:rsidRDefault="002B3A7A" w:rsidP="005A20F5">
      <w:pPr>
        <w:pStyle w:val="Heading1"/>
      </w:pPr>
      <w:r w:rsidRPr="009D3FE8">
        <w:t>Evaluation</w:t>
      </w:r>
    </w:p>
    <w:p w14:paraId="5B629BDD" w14:textId="77777777" w:rsidR="002B3A7A" w:rsidRPr="00D723BD" w:rsidRDefault="002B3A7A" w:rsidP="009D3FE8">
      <w:r w:rsidRPr="00E165C5">
        <w:rPr>
          <w:rFonts w:ascii="Times New Roman" w:hAnsi="Times New Roman"/>
        </w:rPr>
        <w:t>The Consultant</w:t>
      </w:r>
      <w:r>
        <w:rPr>
          <w:rFonts w:ascii="Times New Roman" w:hAnsi="Times New Roman"/>
        </w:rPr>
        <w:t xml:space="preserve"> </w:t>
      </w:r>
      <w:r w:rsidRPr="00E165C5">
        <w:rPr>
          <w:rFonts w:ascii="Times New Roman" w:hAnsi="Times New Roman"/>
        </w:rPr>
        <w:t>which obtains the highest score during evaluation of expressions of interest will be invited to submit technical and financial proposals.</w:t>
      </w:r>
      <w:r>
        <w:rPr>
          <w:rFonts w:ascii="Times New Roman" w:hAnsi="Times New Roman"/>
        </w:rPr>
        <w:t xml:space="preserve"> </w:t>
      </w:r>
    </w:p>
    <w:p w14:paraId="4737708E" w14:textId="4AC9FF6A" w:rsidR="00F90A16" w:rsidRPr="00D03F03" w:rsidRDefault="00F90A16" w:rsidP="007A4DC9">
      <w:pPr>
        <w:rPr>
          <w:rFonts w:ascii="Times New Roman" w:hAnsi="Times New Roman" w:cs="Times New Roman"/>
        </w:rPr>
      </w:pPr>
    </w:p>
    <w:sectPr w:rsidR="00F90A16" w:rsidRPr="00D03F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183A" w14:textId="77777777" w:rsidR="00CB76DE" w:rsidRDefault="00CB76DE" w:rsidP="00410954">
      <w:pPr>
        <w:spacing w:after="0" w:line="240" w:lineRule="auto"/>
      </w:pPr>
      <w:r>
        <w:separator/>
      </w:r>
    </w:p>
  </w:endnote>
  <w:endnote w:type="continuationSeparator" w:id="0">
    <w:p w14:paraId="5EC7DE9C" w14:textId="77777777" w:rsidR="00CB76DE" w:rsidRDefault="00CB76DE" w:rsidP="0041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97088"/>
      <w:docPartObj>
        <w:docPartGallery w:val="Page Numbers (Bottom of Page)"/>
        <w:docPartUnique/>
      </w:docPartObj>
    </w:sdtPr>
    <w:sdtEndPr>
      <w:rPr>
        <w:rFonts w:ascii="Times New Roman" w:hAnsi="Times New Roman" w:cs="Times New Roman"/>
      </w:rPr>
    </w:sdtEndPr>
    <w:sdtContent>
      <w:p w14:paraId="280B6460" w14:textId="47B23B8B" w:rsidR="000B7498" w:rsidRPr="000B7498" w:rsidRDefault="000B7498">
        <w:pPr>
          <w:pStyle w:val="Footer"/>
          <w:jc w:val="right"/>
          <w:rPr>
            <w:rFonts w:ascii="Times New Roman" w:hAnsi="Times New Roman" w:cs="Times New Roman"/>
          </w:rPr>
        </w:pPr>
        <w:r w:rsidRPr="000B7498">
          <w:rPr>
            <w:rFonts w:ascii="Times New Roman" w:hAnsi="Times New Roman" w:cs="Times New Roman"/>
          </w:rPr>
          <w:fldChar w:fldCharType="begin"/>
        </w:r>
        <w:r w:rsidRPr="000B7498">
          <w:rPr>
            <w:rFonts w:ascii="Times New Roman" w:hAnsi="Times New Roman" w:cs="Times New Roman"/>
          </w:rPr>
          <w:instrText>PAGE   \* MERGEFORMAT</w:instrText>
        </w:r>
        <w:r w:rsidRPr="000B7498">
          <w:rPr>
            <w:rFonts w:ascii="Times New Roman" w:hAnsi="Times New Roman" w:cs="Times New Roman"/>
          </w:rPr>
          <w:fldChar w:fldCharType="separate"/>
        </w:r>
        <w:r w:rsidR="00EC0C4A" w:rsidRPr="00EC0C4A">
          <w:rPr>
            <w:rFonts w:ascii="Times New Roman" w:hAnsi="Times New Roman" w:cs="Times New Roman"/>
            <w:noProof/>
            <w:lang w:val="sr-Latn-RS"/>
          </w:rPr>
          <w:t>1</w:t>
        </w:r>
        <w:r w:rsidRPr="000B7498">
          <w:rPr>
            <w:rFonts w:ascii="Times New Roman" w:hAnsi="Times New Roman" w:cs="Times New Roman"/>
          </w:rPr>
          <w:fldChar w:fldCharType="end"/>
        </w:r>
      </w:p>
    </w:sdtContent>
  </w:sdt>
  <w:p w14:paraId="02BC8782" w14:textId="77777777" w:rsidR="000B7498" w:rsidRDefault="000B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FEC98" w14:textId="77777777" w:rsidR="00CB76DE" w:rsidRDefault="00CB76DE" w:rsidP="00410954">
      <w:pPr>
        <w:spacing w:after="0" w:line="240" w:lineRule="auto"/>
      </w:pPr>
      <w:r>
        <w:separator/>
      </w:r>
    </w:p>
  </w:footnote>
  <w:footnote w:type="continuationSeparator" w:id="0">
    <w:p w14:paraId="13C996F3" w14:textId="77777777" w:rsidR="00CB76DE" w:rsidRDefault="00CB76DE" w:rsidP="00410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4D3"/>
    <w:multiLevelType w:val="multilevel"/>
    <w:tmpl w:val="E45A05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9D329F"/>
    <w:multiLevelType w:val="multilevel"/>
    <w:tmpl w:val="96D02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313724"/>
    <w:multiLevelType w:val="hybridMultilevel"/>
    <w:tmpl w:val="E97490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FCA2E59"/>
    <w:multiLevelType w:val="multilevel"/>
    <w:tmpl w:val="93DE1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11647A"/>
    <w:multiLevelType w:val="hybridMultilevel"/>
    <w:tmpl w:val="7E4220D0"/>
    <w:lvl w:ilvl="0" w:tplc="0E10C412">
      <w:start w:val="1"/>
      <w:numFmt w:val="lowerLetter"/>
      <w:pStyle w:val="Heading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A0B76"/>
    <w:multiLevelType w:val="multilevel"/>
    <w:tmpl w:val="CC70705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b/>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C776C4E"/>
    <w:multiLevelType w:val="multilevel"/>
    <w:tmpl w:val="72B4B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D830098"/>
    <w:multiLevelType w:val="multilevel"/>
    <w:tmpl w:val="0C6831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5463D7"/>
    <w:multiLevelType w:val="multilevel"/>
    <w:tmpl w:val="1924C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4F65556"/>
    <w:multiLevelType w:val="multilevel"/>
    <w:tmpl w:val="F5C07EF4"/>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5EB15AB"/>
    <w:multiLevelType w:val="hybridMultilevel"/>
    <w:tmpl w:val="EF46DEB4"/>
    <w:lvl w:ilvl="0" w:tplc="EC76FB2C">
      <w:start w:val="1"/>
      <w:numFmt w:val="bullet"/>
      <w:pStyle w:val="Bulit-1"/>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713AC5"/>
    <w:multiLevelType w:val="hybridMultilevel"/>
    <w:tmpl w:val="993E4C50"/>
    <w:lvl w:ilvl="0" w:tplc="0F64DB3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E2C00"/>
    <w:multiLevelType w:val="multilevel"/>
    <w:tmpl w:val="8D1C0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8B26426"/>
    <w:multiLevelType w:val="hybridMultilevel"/>
    <w:tmpl w:val="33F6CED4"/>
    <w:lvl w:ilvl="0" w:tplc="30A0CDC4">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7598C"/>
    <w:multiLevelType w:val="multilevel"/>
    <w:tmpl w:val="1DB4F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AFB2015"/>
    <w:multiLevelType w:val="multilevel"/>
    <w:tmpl w:val="EBFE0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C7115C5"/>
    <w:multiLevelType w:val="multilevel"/>
    <w:tmpl w:val="9BD4B6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Calibri" w:eastAsia="Calibri" w:hAnsi="Calibri" w:cs="Calibri"/>
        <w:b/>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D183097"/>
    <w:multiLevelType w:val="multilevel"/>
    <w:tmpl w:val="93D83B84"/>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F340BF0"/>
    <w:multiLevelType w:val="hybridMultilevel"/>
    <w:tmpl w:val="07D6E2A8"/>
    <w:lvl w:ilvl="0" w:tplc="CC349D12">
      <w:start w:val="1"/>
      <w:numFmt w:val="bullet"/>
      <w:pStyle w:val="Buli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9334A8"/>
    <w:multiLevelType w:val="multilevel"/>
    <w:tmpl w:val="C1D6CDDA"/>
    <w:lvl w:ilvl="0">
      <w:start w:val="1"/>
      <w:numFmt w:val="bullet"/>
      <w:lvlText w:val="•"/>
      <w:lvlJc w:val="left"/>
      <w:pPr>
        <w:ind w:left="94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0B006D6"/>
    <w:multiLevelType w:val="multilevel"/>
    <w:tmpl w:val="D02E24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5D60462"/>
    <w:multiLevelType w:val="multilevel"/>
    <w:tmpl w:val="87265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8473C7D"/>
    <w:multiLevelType w:val="hybridMultilevel"/>
    <w:tmpl w:val="CD003098"/>
    <w:lvl w:ilvl="0" w:tplc="A46C32F2">
      <w:start w:val="1"/>
      <w:numFmt w:val="bullet"/>
      <w:lvlText w:val=""/>
      <w:lvlJc w:val="left"/>
      <w:pPr>
        <w:ind w:left="720" w:hanging="360"/>
      </w:pPr>
      <w:rPr>
        <w:rFonts w:ascii="Symbol" w:hAnsi="Symbol" w:hint="default"/>
        <w:sz w:val="18"/>
        <w:szCs w:val="18"/>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01D55BA"/>
    <w:multiLevelType w:val="hybridMultilevel"/>
    <w:tmpl w:val="FFFFFFFF"/>
    <w:styleLink w:val="ImportedStyle3"/>
    <w:lvl w:ilvl="0" w:tplc="2FB0DB22">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6C7CD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4A2E0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40C030">
      <w:start w:val="1"/>
      <w:numFmt w:val="bullet"/>
      <w:lvlText w:val="·"/>
      <w:lvlJc w:val="left"/>
      <w:pPr>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8AA1C6">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56EBF0">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0A420C">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A641A6">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E68BA0">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3A13F57"/>
    <w:multiLevelType w:val="multilevel"/>
    <w:tmpl w:val="7ADCB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83C70CE"/>
    <w:multiLevelType w:val="multilevel"/>
    <w:tmpl w:val="BF8AA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22"/>
  </w:num>
  <w:num w:numId="3">
    <w:abstractNumId w:val="23"/>
  </w:num>
  <w:num w:numId="4">
    <w:abstractNumId w:val="4"/>
  </w:num>
  <w:num w:numId="5">
    <w:abstractNumId w:val="11"/>
  </w:num>
  <w:num w:numId="6">
    <w:abstractNumId w:val="18"/>
  </w:num>
  <w:num w:numId="7">
    <w:abstractNumId w:val="10"/>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3"/>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3"/>
  </w:num>
  <w:num w:numId="18">
    <w:abstractNumId w:val="18"/>
  </w:num>
  <w:num w:numId="19">
    <w:abstractNumId w:val="18"/>
  </w:num>
  <w:num w:numId="20">
    <w:abstractNumId w:val="1"/>
  </w:num>
  <w:num w:numId="21">
    <w:abstractNumId w:val="17"/>
  </w:num>
  <w:num w:numId="22">
    <w:abstractNumId w:val="9"/>
  </w:num>
  <w:num w:numId="23">
    <w:abstractNumId w:val="19"/>
  </w:num>
  <w:num w:numId="24">
    <w:abstractNumId w:val="14"/>
  </w:num>
  <w:num w:numId="25">
    <w:abstractNumId w:val="5"/>
  </w:num>
  <w:num w:numId="26">
    <w:abstractNumId w:val="16"/>
  </w:num>
  <w:num w:numId="27">
    <w:abstractNumId w:val="20"/>
  </w:num>
  <w:num w:numId="28">
    <w:abstractNumId w:val="0"/>
  </w:num>
  <w:num w:numId="29">
    <w:abstractNumId w:val="13"/>
    <w:lvlOverride w:ilvl="0">
      <w:startOverride w:val="1"/>
    </w:lvlOverride>
  </w:num>
  <w:num w:numId="30">
    <w:abstractNumId w:val="13"/>
    <w:lvlOverride w:ilvl="0">
      <w:startOverride w:val="1"/>
    </w:lvlOverride>
  </w:num>
  <w:num w:numId="31">
    <w:abstractNumId w:val="11"/>
    <w:lvlOverride w:ilvl="0">
      <w:startOverride w:val="1"/>
    </w:lvlOverride>
  </w:num>
  <w:num w:numId="32">
    <w:abstractNumId w:val="6"/>
  </w:num>
  <w:num w:numId="33">
    <w:abstractNumId w:val="25"/>
  </w:num>
  <w:num w:numId="34">
    <w:abstractNumId w:val="7"/>
  </w:num>
  <w:num w:numId="35">
    <w:abstractNumId w:val="8"/>
  </w:num>
  <w:num w:numId="36">
    <w:abstractNumId w:val="12"/>
  </w:num>
  <w:num w:numId="37">
    <w:abstractNumId w:val="21"/>
  </w:num>
  <w:num w:numId="38">
    <w:abstractNumId w:val="15"/>
  </w:num>
  <w:num w:numId="39">
    <w:abstractNumId w:val="24"/>
  </w:num>
  <w:num w:numId="40">
    <w:abstractNumId w:val="13"/>
    <w:lvlOverride w:ilvl="0">
      <w:startOverride w:val="1"/>
    </w:lvlOverride>
  </w:num>
  <w:num w:numId="41">
    <w:abstractNumId w:val="18"/>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54"/>
    <w:rsid w:val="00007D65"/>
    <w:rsid w:val="00026335"/>
    <w:rsid w:val="00054DAE"/>
    <w:rsid w:val="00064D75"/>
    <w:rsid w:val="00097C6A"/>
    <w:rsid w:val="000B7498"/>
    <w:rsid w:val="000D5AE4"/>
    <w:rsid w:val="000D7374"/>
    <w:rsid w:val="000F3FF9"/>
    <w:rsid w:val="001637D2"/>
    <w:rsid w:val="0016380B"/>
    <w:rsid w:val="00176610"/>
    <w:rsid w:val="001C48CF"/>
    <w:rsid w:val="001F0EB3"/>
    <w:rsid w:val="001F3C3D"/>
    <w:rsid w:val="00211CAA"/>
    <w:rsid w:val="00220EAD"/>
    <w:rsid w:val="00225A92"/>
    <w:rsid w:val="00270352"/>
    <w:rsid w:val="00274611"/>
    <w:rsid w:val="002A2385"/>
    <w:rsid w:val="002B3A7A"/>
    <w:rsid w:val="002D64C1"/>
    <w:rsid w:val="003024AD"/>
    <w:rsid w:val="003F6BE2"/>
    <w:rsid w:val="00410954"/>
    <w:rsid w:val="00426213"/>
    <w:rsid w:val="004432DA"/>
    <w:rsid w:val="00472173"/>
    <w:rsid w:val="004C3198"/>
    <w:rsid w:val="004E2B9D"/>
    <w:rsid w:val="005120EC"/>
    <w:rsid w:val="00531620"/>
    <w:rsid w:val="00597A04"/>
    <w:rsid w:val="005A20F5"/>
    <w:rsid w:val="00603980"/>
    <w:rsid w:val="00627E24"/>
    <w:rsid w:val="006401E7"/>
    <w:rsid w:val="006515F2"/>
    <w:rsid w:val="006716FF"/>
    <w:rsid w:val="006A28D1"/>
    <w:rsid w:val="006B2159"/>
    <w:rsid w:val="006C17E0"/>
    <w:rsid w:val="006D2147"/>
    <w:rsid w:val="00706C65"/>
    <w:rsid w:val="007401CE"/>
    <w:rsid w:val="00765AC4"/>
    <w:rsid w:val="00786407"/>
    <w:rsid w:val="007A4DC9"/>
    <w:rsid w:val="007B5F3A"/>
    <w:rsid w:val="007D3F9A"/>
    <w:rsid w:val="00807E91"/>
    <w:rsid w:val="00811754"/>
    <w:rsid w:val="0081627C"/>
    <w:rsid w:val="00820663"/>
    <w:rsid w:val="00837A12"/>
    <w:rsid w:val="00850FCE"/>
    <w:rsid w:val="00854F7A"/>
    <w:rsid w:val="009A256B"/>
    <w:rsid w:val="009C5C5A"/>
    <w:rsid w:val="009D3FE8"/>
    <w:rsid w:val="00A26B45"/>
    <w:rsid w:val="00A65CCE"/>
    <w:rsid w:val="00AA0318"/>
    <w:rsid w:val="00B06B25"/>
    <w:rsid w:val="00B10DD9"/>
    <w:rsid w:val="00B7439A"/>
    <w:rsid w:val="00B97DA5"/>
    <w:rsid w:val="00BE4EDD"/>
    <w:rsid w:val="00BF43DF"/>
    <w:rsid w:val="00BF43E6"/>
    <w:rsid w:val="00C22242"/>
    <w:rsid w:val="00C34FBF"/>
    <w:rsid w:val="00C47583"/>
    <w:rsid w:val="00C50827"/>
    <w:rsid w:val="00C6061C"/>
    <w:rsid w:val="00C97E74"/>
    <w:rsid w:val="00CA1380"/>
    <w:rsid w:val="00CB76DE"/>
    <w:rsid w:val="00CD5FDF"/>
    <w:rsid w:val="00D03F03"/>
    <w:rsid w:val="00D12145"/>
    <w:rsid w:val="00D15FF8"/>
    <w:rsid w:val="00D2419E"/>
    <w:rsid w:val="00D26B03"/>
    <w:rsid w:val="00D57ECD"/>
    <w:rsid w:val="00D71934"/>
    <w:rsid w:val="00DA6D35"/>
    <w:rsid w:val="00DB4224"/>
    <w:rsid w:val="00DB6DCC"/>
    <w:rsid w:val="00DF3ABC"/>
    <w:rsid w:val="00E200DB"/>
    <w:rsid w:val="00E27D83"/>
    <w:rsid w:val="00EA444A"/>
    <w:rsid w:val="00EC0C4A"/>
    <w:rsid w:val="00EF096B"/>
    <w:rsid w:val="00F136E4"/>
    <w:rsid w:val="00F158CA"/>
    <w:rsid w:val="00F20B1F"/>
    <w:rsid w:val="00F2302D"/>
    <w:rsid w:val="00F2602E"/>
    <w:rsid w:val="00F26871"/>
    <w:rsid w:val="00F82F6E"/>
    <w:rsid w:val="00F90A16"/>
    <w:rsid w:val="00FB2A43"/>
    <w:rsid w:val="00FD480E"/>
    <w:rsid w:val="00FF489F"/>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9622"/>
  <w15:chartTrackingRefBased/>
  <w15:docId w15:val="{712D1901-7833-4261-8B88-1B01B774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DC9"/>
  </w:style>
  <w:style w:type="paragraph" w:styleId="Heading1">
    <w:name w:val="heading 1"/>
    <w:basedOn w:val="Normal"/>
    <w:next w:val="Normal"/>
    <w:link w:val="Heading1Char"/>
    <w:autoRedefine/>
    <w:uiPriority w:val="9"/>
    <w:qFormat/>
    <w:rsid w:val="005120EC"/>
    <w:pPr>
      <w:keepNext/>
      <w:keepLines/>
      <w:numPr>
        <w:numId w:val="4"/>
      </w:numPr>
      <w:spacing w:before="360" w:after="80"/>
      <w:ind w:left="714" w:hanging="357"/>
      <w:jc w:val="both"/>
      <w:outlineLvl w:val="0"/>
    </w:pPr>
    <w:rPr>
      <w:rFonts w:ascii="Times New Roman" w:eastAsia="Times New Roman" w:hAnsi="Times New Roman" w:cstheme="majorBidi"/>
      <w:b/>
      <w:bCs/>
      <w:szCs w:val="40"/>
    </w:rPr>
  </w:style>
  <w:style w:type="paragraph" w:styleId="Heading2">
    <w:name w:val="heading 2"/>
    <w:basedOn w:val="Normal"/>
    <w:next w:val="Normal"/>
    <w:link w:val="Heading2Char"/>
    <w:autoRedefine/>
    <w:uiPriority w:val="9"/>
    <w:unhideWhenUsed/>
    <w:qFormat/>
    <w:rsid w:val="00EF096B"/>
    <w:pPr>
      <w:keepLines/>
      <w:numPr>
        <w:numId w:val="5"/>
      </w:numPr>
      <w:spacing w:before="240" w:after="80"/>
      <w:jc w:val="both"/>
      <w:outlineLvl w:val="1"/>
    </w:pPr>
    <w:rPr>
      <w:rFonts w:ascii="Times New Roman" w:eastAsiaTheme="majorEastAsia" w:hAnsi="Times New Roman" w:cstheme="majorBidi"/>
      <w:b/>
      <w:szCs w:val="32"/>
    </w:rPr>
  </w:style>
  <w:style w:type="paragraph" w:styleId="Heading3">
    <w:name w:val="heading 3"/>
    <w:basedOn w:val="Normal"/>
    <w:next w:val="Normal"/>
    <w:link w:val="Heading3Char"/>
    <w:autoRedefine/>
    <w:uiPriority w:val="9"/>
    <w:unhideWhenUsed/>
    <w:qFormat/>
    <w:rsid w:val="00EF096B"/>
    <w:pPr>
      <w:keepNext/>
      <w:keepLines/>
      <w:numPr>
        <w:numId w:val="11"/>
      </w:numPr>
      <w:spacing w:before="160" w:after="80"/>
      <w:jc w:val="both"/>
      <w:outlineLvl w:val="2"/>
    </w:pPr>
    <w:rPr>
      <w:rFonts w:ascii="Times New Roman" w:eastAsia="Times New Roman" w:hAnsi="Times New Roman" w:cstheme="majorBidi"/>
      <w:b/>
      <w:szCs w:val="28"/>
      <w:lang w:val="en"/>
    </w:rPr>
  </w:style>
  <w:style w:type="paragraph" w:styleId="Heading4">
    <w:name w:val="heading 4"/>
    <w:basedOn w:val="Normal"/>
    <w:next w:val="Normal"/>
    <w:link w:val="Heading4Char"/>
    <w:uiPriority w:val="9"/>
    <w:semiHidden/>
    <w:unhideWhenUsed/>
    <w:qFormat/>
    <w:rsid w:val="00410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EC"/>
    <w:rPr>
      <w:rFonts w:ascii="Times New Roman" w:eastAsia="Times New Roman" w:hAnsi="Times New Roman" w:cstheme="majorBidi"/>
      <w:b/>
      <w:bCs/>
      <w:szCs w:val="40"/>
    </w:rPr>
  </w:style>
  <w:style w:type="character" w:customStyle="1" w:styleId="Heading2Char">
    <w:name w:val="Heading 2 Char"/>
    <w:basedOn w:val="DefaultParagraphFont"/>
    <w:link w:val="Heading2"/>
    <w:uiPriority w:val="9"/>
    <w:rsid w:val="00EF096B"/>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EF096B"/>
    <w:rPr>
      <w:rFonts w:ascii="Times New Roman" w:eastAsia="Times New Roman" w:hAnsi="Times New Roman" w:cstheme="majorBidi"/>
      <w:b/>
      <w:szCs w:val="28"/>
      <w:lang w:val="en"/>
    </w:rPr>
  </w:style>
  <w:style w:type="character" w:customStyle="1" w:styleId="Heading4Char">
    <w:name w:val="Heading 4 Char"/>
    <w:basedOn w:val="DefaultParagraphFont"/>
    <w:link w:val="Heading4"/>
    <w:uiPriority w:val="9"/>
    <w:semiHidden/>
    <w:rsid w:val="00410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954"/>
    <w:rPr>
      <w:rFonts w:eastAsiaTheme="majorEastAsia" w:cstheme="majorBidi"/>
      <w:color w:val="272727" w:themeColor="text1" w:themeTint="D8"/>
    </w:rPr>
  </w:style>
  <w:style w:type="paragraph" w:styleId="Title">
    <w:name w:val="Title"/>
    <w:basedOn w:val="Normal"/>
    <w:next w:val="Normal"/>
    <w:link w:val="TitleChar"/>
    <w:uiPriority w:val="10"/>
    <w:qFormat/>
    <w:rsid w:val="00410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954"/>
    <w:pPr>
      <w:spacing w:before="160"/>
      <w:jc w:val="center"/>
    </w:pPr>
    <w:rPr>
      <w:i/>
      <w:iCs/>
      <w:color w:val="404040" w:themeColor="text1" w:themeTint="BF"/>
    </w:rPr>
  </w:style>
  <w:style w:type="character" w:customStyle="1" w:styleId="QuoteChar">
    <w:name w:val="Quote Char"/>
    <w:basedOn w:val="DefaultParagraphFont"/>
    <w:link w:val="Quote"/>
    <w:uiPriority w:val="29"/>
    <w:rsid w:val="00410954"/>
    <w:rPr>
      <w:i/>
      <w:iCs/>
      <w:color w:val="404040" w:themeColor="text1" w:themeTint="BF"/>
    </w:rPr>
  </w:style>
  <w:style w:type="paragraph" w:styleId="ListParagraph">
    <w:name w:val="List Paragraph"/>
    <w:basedOn w:val="Normal"/>
    <w:uiPriority w:val="34"/>
    <w:qFormat/>
    <w:rsid w:val="00410954"/>
    <w:pPr>
      <w:ind w:left="720"/>
      <w:contextualSpacing/>
    </w:pPr>
  </w:style>
  <w:style w:type="character" w:styleId="IntenseEmphasis">
    <w:name w:val="Intense Emphasis"/>
    <w:basedOn w:val="DefaultParagraphFont"/>
    <w:uiPriority w:val="21"/>
    <w:qFormat/>
    <w:rsid w:val="00410954"/>
    <w:rPr>
      <w:i/>
      <w:iCs/>
      <w:color w:val="0F4761" w:themeColor="accent1" w:themeShade="BF"/>
    </w:rPr>
  </w:style>
  <w:style w:type="paragraph" w:styleId="IntenseQuote">
    <w:name w:val="Intense Quote"/>
    <w:basedOn w:val="Normal"/>
    <w:next w:val="Normal"/>
    <w:link w:val="IntenseQuoteChar"/>
    <w:uiPriority w:val="30"/>
    <w:qFormat/>
    <w:rsid w:val="00410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954"/>
    <w:rPr>
      <w:i/>
      <w:iCs/>
      <w:color w:val="0F4761" w:themeColor="accent1" w:themeShade="BF"/>
    </w:rPr>
  </w:style>
  <w:style w:type="character" w:styleId="IntenseReference">
    <w:name w:val="Intense Reference"/>
    <w:basedOn w:val="DefaultParagraphFont"/>
    <w:uiPriority w:val="32"/>
    <w:qFormat/>
    <w:rsid w:val="00410954"/>
    <w:rPr>
      <w:b/>
      <w:bCs/>
      <w:smallCaps/>
      <w:color w:val="0F4761" w:themeColor="accent1" w:themeShade="BF"/>
      <w:spacing w:val="5"/>
    </w:rPr>
  </w:style>
  <w:style w:type="paragraph" w:styleId="FootnoteText">
    <w:name w:val="footnote text"/>
    <w:basedOn w:val="Normal"/>
    <w:link w:val="FootnoteTextChar"/>
    <w:uiPriority w:val="99"/>
    <w:semiHidden/>
    <w:unhideWhenUsed/>
    <w:rsid w:val="00410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954"/>
    <w:rPr>
      <w:sz w:val="20"/>
      <w:szCs w:val="20"/>
    </w:rPr>
  </w:style>
  <w:style w:type="character" w:styleId="FootnoteReference">
    <w:name w:val="footnote reference"/>
    <w:basedOn w:val="DefaultParagraphFont"/>
    <w:uiPriority w:val="99"/>
    <w:semiHidden/>
    <w:unhideWhenUsed/>
    <w:rsid w:val="00410954"/>
    <w:rPr>
      <w:vertAlign w:val="superscript"/>
    </w:rPr>
  </w:style>
  <w:style w:type="paragraph" w:customStyle="1" w:styleId="Body">
    <w:name w:val="Body"/>
    <w:rsid w:val="002B3A7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de-DE"/>
      <w14:ligatures w14:val="none"/>
    </w:rPr>
  </w:style>
  <w:style w:type="paragraph" w:styleId="NoSpacing">
    <w:name w:val="No Spacing"/>
    <w:rsid w:val="002B3A7A"/>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14:ligatures w14:val="none"/>
    </w:rPr>
  </w:style>
  <w:style w:type="paragraph" w:styleId="Header">
    <w:name w:val="header"/>
    <w:basedOn w:val="Normal"/>
    <w:link w:val="HeaderChar"/>
    <w:uiPriority w:val="99"/>
    <w:unhideWhenUsed/>
    <w:rsid w:val="002B3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A7A"/>
  </w:style>
  <w:style w:type="paragraph" w:styleId="Footer">
    <w:name w:val="footer"/>
    <w:basedOn w:val="Normal"/>
    <w:link w:val="FooterChar"/>
    <w:uiPriority w:val="99"/>
    <w:unhideWhenUsed/>
    <w:rsid w:val="002B3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A7A"/>
  </w:style>
  <w:style w:type="table" w:styleId="TableGrid">
    <w:name w:val="Table Grid"/>
    <w:basedOn w:val="TableNormal"/>
    <w:uiPriority w:val="39"/>
    <w:rsid w:val="00F2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D65"/>
    <w:rPr>
      <w:sz w:val="16"/>
      <w:szCs w:val="16"/>
    </w:rPr>
  </w:style>
  <w:style w:type="paragraph" w:styleId="CommentText">
    <w:name w:val="annotation text"/>
    <w:basedOn w:val="Normal"/>
    <w:link w:val="CommentTextChar"/>
    <w:uiPriority w:val="99"/>
    <w:semiHidden/>
    <w:unhideWhenUsed/>
    <w:rsid w:val="00007D65"/>
    <w:pPr>
      <w:spacing w:line="240" w:lineRule="auto"/>
    </w:pPr>
    <w:rPr>
      <w:sz w:val="20"/>
      <w:szCs w:val="20"/>
    </w:rPr>
  </w:style>
  <w:style w:type="character" w:customStyle="1" w:styleId="CommentTextChar">
    <w:name w:val="Comment Text Char"/>
    <w:basedOn w:val="DefaultParagraphFont"/>
    <w:link w:val="CommentText"/>
    <w:uiPriority w:val="99"/>
    <w:semiHidden/>
    <w:rsid w:val="00007D65"/>
    <w:rPr>
      <w:sz w:val="20"/>
      <w:szCs w:val="20"/>
    </w:rPr>
  </w:style>
  <w:style w:type="paragraph" w:styleId="CommentSubject">
    <w:name w:val="annotation subject"/>
    <w:basedOn w:val="CommentText"/>
    <w:next w:val="CommentText"/>
    <w:link w:val="CommentSubjectChar"/>
    <w:uiPriority w:val="99"/>
    <w:semiHidden/>
    <w:unhideWhenUsed/>
    <w:rsid w:val="00007D65"/>
    <w:rPr>
      <w:b/>
      <w:bCs/>
    </w:rPr>
  </w:style>
  <w:style w:type="character" w:customStyle="1" w:styleId="CommentSubjectChar">
    <w:name w:val="Comment Subject Char"/>
    <w:basedOn w:val="CommentTextChar"/>
    <w:link w:val="CommentSubject"/>
    <w:uiPriority w:val="99"/>
    <w:semiHidden/>
    <w:rsid w:val="00007D65"/>
    <w:rPr>
      <w:b/>
      <w:bCs/>
      <w:sz w:val="20"/>
      <w:szCs w:val="20"/>
    </w:rPr>
  </w:style>
  <w:style w:type="paragraph" w:styleId="BalloonText">
    <w:name w:val="Balloon Text"/>
    <w:basedOn w:val="Normal"/>
    <w:link w:val="BalloonTextChar"/>
    <w:uiPriority w:val="99"/>
    <w:semiHidden/>
    <w:unhideWhenUsed/>
    <w:rsid w:val="00007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D65"/>
    <w:rPr>
      <w:rFonts w:ascii="Segoe UI" w:hAnsi="Segoe UI" w:cs="Segoe UI"/>
      <w:sz w:val="18"/>
      <w:szCs w:val="18"/>
    </w:rPr>
  </w:style>
  <w:style w:type="numbering" w:customStyle="1" w:styleId="ImportedStyle3">
    <w:name w:val="Imported Style 3"/>
    <w:rsid w:val="002A2385"/>
    <w:pPr>
      <w:numPr>
        <w:numId w:val="3"/>
      </w:numPr>
    </w:pPr>
  </w:style>
  <w:style w:type="paragraph" w:customStyle="1" w:styleId="Bulit">
    <w:name w:val="Bulit"/>
    <w:basedOn w:val="Heading1"/>
    <w:autoRedefine/>
    <w:qFormat/>
    <w:rsid w:val="00EF096B"/>
    <w:pPr>
      <w:keepNext w:val="0"/>
      <w:numPr>
        <w:numId w:val="6"/>
      </w:numPr>
      <w:spacing w:before="120" w:after="120"/>
    </w:pPr>
    <w:rPr>
      <w:rFonts w:eastAsia="Calibri" w:cs="Calibri"/>
      <w:b w:val="0"/>
      <w:u w:color="000000"/>
      <w:bdr w:val="nil"/>
    </w:rPr>
  </w:style>
  <w:style w:type="paragraph" w:customStyle="1" w:styleId="Bulit-1">
    <w:name w:val="Bulit -1"/>
    <w:basedOn w:val="Bulit"/>
    <w:autoRedefine/>
    <w:qFormat/>
    <w:rsid w:val="00FF6B5E"/>
    <w:pPr>
      <w:numPr>
        <w:numId w:val="7"/>
      </w:numPr>
      <w:ind w:left="143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08910">
      <w:bodyDiv w:val="1"/>
      <w:marLeft w:val="0"/>
      <w:marRight w:val="0"/>
      <w:marTop w:val="0"/>
      <w:marBottom w:val="0"/>
      <w:divBdr>
        <w:top w:val="none" w:sz="0" w:space="0" w:color="auto"/>
        <w:left w:val="none" w:sz="0" w:space="0" w:color="auto"/>
        <w:bottom w:val="none" w:sz="0" w:space="0" w:color="auto"/>
        <w:right w:val="none" w:sz="0" w:space="0" w:color="auto"/>
      </w:divBdr>
    </w:div>
    <w:div w:id="1120996316">
      <w:bodyDiv w:val="1"/>
      <w:marLeft w:val="0"/>
      <w:marRight w:val="0"/>
      <w:marTop w:val="0"/>
      <w:marBottom w:val="0"/>
      <w:divBdr>
        <w:top w:val="none" w:sz="0" w:space="0" w:color="auto"/>
        <w:left w:val="none" w:sz="0" w:space="0" w:color="auto"/>
        <w:bottom w:val="none" w:sz="0" w:space="0" w:color="auto"/>
        <w:right w:val="none" w:sz="0" w:space="0" w:color="auto"/>
      </w:divBdr>
      <w:divsChild>
        <w:div w:id="757139338">
          <w:marLeft w:val="0"/>
          <w:marRight w:val="0"/>
          <w:marTop w:val="0"/>
          <w:marBottom w:val="0"/>
          <w:divBdr>
            <w:top w:val="none" w:sz="0" w:space="0" w:color="auto"/>
            <w:left w:val="none" w:sz="0" w:space="0" w:color="auto"/>
            <w:bottom w:val="none" w:sz="0" w:space="0" w:color="auto"/>
            <w:right w:val="none" w:sz="0" w:space="0" w:color="auto"/>
          </w:divBdr>
          <w:divsChild>
            <w:div w:id="584463340">
              <w:marLeft w:val="0"/>
              <w:marRight w:val="0"/>
              <w:marTop w:val="0"/>
              <w:marBottom w:val="0"/>
              <w:divBdr>
                <w:top w:val="none" w:sz="0" w:space="0" w:color="auto"/>
                <w:left w:val="none" w:sz="0" w:space="0" w:color="auto"/>
                <w:bottom w:val="none" w:sz="0" w:space="0" w:color="auto"/>
                <w:right w:val="none" w:sz="0" w:space="0" w:color="auto"/>
              </w:divBdr>
            </w:div>
            <w:div w:id="53431138">
              <w:marLeft w:val="0"/>
              <w:marRight w:val="0"/>
              <w:marTop w:val="0"/>
              <w:marBottom w:val="0"/>
              <w:divBdr>
                <w:top w:val="none" w:sz="0" w:space="0" w:color="auto"/>
                <w:left w:val="none" w:sz="0" w:space="0" w:color="auto"/>
                <w:bottom w:val="none" w:sz="0" w:space="0" w:color="auto"/>
                <w:right w:val="none" w:sz="0" w:space="0" w:color="auto"/>
              </w:divBdr>
              <w:divsChild>
                <w:div w:id="25953250">
                  <w:marLeft w:val="0"/>
                  <w:marRight w:val="0"/>
                  <w:marTop w:val="0"/>
                  <w:marBottom w:val="0"/>
                  <w:divBdr>
                    <w:top w:val="none" w:sz="0" w:space="0" w:color="auto"/>
                    <w:left w:val="none" w:sz="0" w:space="0" w:color="auto"/>
                    <w:bottom w:val="none" w:sz="0" w:space="0" w:color="auto"/>
                    <w:right w:val="none" w:sz="0" w:space="0" w:color="auto"/>
                  </w:divBdr>
                  <w:divsChild>
                    <w:div w:id="18729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5294">
      <w:bodyDiv w:val="1"/>
      <w:marLeft w:val="0"/>
      <w:marRight w:val="0"/>
      <w:marTop w:val="0"/>
      <w:marBottom w:val="0"/>
      <w:divBdr>
        <w:top w:val="none" w:sz="0" w:space="0" w:color="auto"/>
        <w:left w:val="none" w:sz="0" w:space="0" w:color="auto"/>
        <w:bottom w:val="none" w:sz="0" w:space="0" w:color="auto"/>
        <w:right w:val="none" w:sz="0" w:space="0" w:color="auto"/>
      </w:divBdr>
    </w:div>
    <w:div w:id="2096053884">
      <w:bodyDiv w:val="1"/>
      <w:marLeft w:val="0"/>
      <w:marRight w:val="0"/>
      <w:marTop w:val="0"/>
      <w:marBottom w:val="0"/>
      <w:divBdr>
        <w:top w:val="none" w:sz="0" w:space="0" w:color="auto"/>
        <w:left w:val="none" w:sz="0" w:space="0" w:color="auto"/>
        <w:bottom w:val="none" w:sz="0" w:space="0" w:color="auto"/>
        <w:right w:val="none" w:sz="0" w:space="0" w:color="auto"/>
      </w:divBdr>
      <w:divsChild>
        <w:div w:id="1323043415">
          <w:marLeft w:val="0"/>
          <w:marRight w:val="0"/>
          <w:marTop w:val="0"/>
          <w:marBottom w:val="0"/>
          <w:divBdr>
            <w:top w:val="none" w:sz="0" w:space="0" w:color="auto"/>
            <w:left w:val="none" w:sz="0" w:space="0" w:color="auto"/>
            <w:bottom w:val="none" w:sz="0" w:space="0" w:color="auto"/>
            <w:right w:val="none" w:sz="0" w:space="0" w:color="auto"/>
          </w:divBdr>
          <w:divsChild>
            <w:div w:id="1099135548">
              <w:marLeft w:val="0"/>
              <w:marRight w:val="0"/>
              <w:marTop w:val="0"/>
              <w:marBottom w:val="0"/>
              <w:divBdr>
                <w:top w:val="none" w:sz="0" w:space="0" w:color="auto"/>
                <w:left w:val="none" w:sz="0" w:space="0" w:color="auto"/>
                <w:bottom w:val="none" w:sz="0" w:space="0" w:color="auto"/>
                <w:right w:val="none" w:sz="0" w:space="0" w:color="auto"/>
              </w:divBdr>
            </w:div>
            <w:div w:id="1945379502">
              <w:marLeft w:val="0"/>
              <w:marRight w:val="0"/>
              <w:marTop w:val="0"/>
              <w:marBottom w:val="0"/>
              <w:divBdr>
                <w:top w:val="none" w:sz="0" w:space="0" w:color="auto"/>
                <w:left w:val="none" w:sz="0" w:space="0" w:color="auto"/>
                <w:bottom w:val="none" w:sz="0" w:space="0" w:color="auto"/>
                <w:right w:val="none" w:sz="0" w:space="0" w:color="auto"/>
              </w:divBdr>
              <w:divsChild>
                <w:div w:id="350030892">
                  <w:marLeft w:val="0"/>
                  <w:marRight w:val="0"/>
                  <w:marTop w:val="0"/>
                  <w:marBottom w:val="0"/>
                  <w:divBdr>
                    <w:top w:val="none" w:sz="0" w:space="0" w:color="auto"/>
                    <w:left w:val="none" w:sz="0" w:space="0" w:color="auto"/>
                    <w:bottom w:val="none" w:sz="0" w:space="0" w:color="auto"/>
                    <w:right w:val="none" w:sz="0" w:space="0" w:color="auto"/>
                  </w:divBdr>
                  <w:divsChild>
                    <w:div w:id="2536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0B7C-AC07-46B0-820B-96925D05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Krejović</dc:creator>
  <cp:keywords/>
  <dc:description/>
  <cp:lastModifiedBy>Ljiljana Krejović</cp:lastModifiedBy>
  <cp:revision>2</cp:revision>
  <dcterms:created xsi:type="dcterms:W3CDTF">2025-08-11T10:00:00Z</dcterms:created>
  <dcterms:modified xsi:type="dcterms:W3CDTF">2025-08-11T10:00:00Z</dcterms:modified>
</cp:coreProperties>
</file>