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07C13" w14:textId="77777777" w:rsidR="009830E4" w:rsidRPr="00B21FC4" w:rsidRDefault="009830E4" w:rsidP="007E72D3">
      <w:pPr>
        <w:pStyle w:val="Heading1a"/>
        <w:keepNext w:val="0"/>
        <w:keepLines w:val="0"/>
        <w:tabs>
          <w:tab w:val="clear" w:pos="-720"/>
        </w:tabs>
        <w:suppressAutoHyphens w:val="0"/>
        <w:rPr>
          <w:bCs/>
          <w:smallCaps w:val="0"/>
          <w:sz w:val="26"/>
          <w:szCs w:val="26"/>
        </w:rPr>
      </w:pPr>
      <w:r w:rsidRPr="00B21FC4">
        <w:rPr>
          <w:bCs/>
          <w:smallCaps w:val="0"/>
          <w:sz w:val="26"/>
          <w:szCs w:val="26"/>
        </w:rPr>
        <w:t>REQUEST FOR EXPRESSIONS OF INTEREST</w:t>
      </w:r>
    </w:p>
    <w:p w14:paraId="3AC4A138" w14:textId="77777777" w:rsidR="009830E4" w:rsidRPr="00B21FC4" w:rsidRDefault="009830E4" w:rsidP="007E72D3">
      <w:pPr>
        <w:pStyle w:val="Heading1a"/>
        <w:keepNext w:val="0"/>
        <w:keepLines w:val="0"/>
        <w:tabs>
          <w:tab w:val="clear" w:pos="-720"/>
        </w:tabs>
        <w:suppressAutoHyphens w:val="0"/>
        <w:rPr>
          <w:bCs/>
          <w:smallCaps w:val="0"/>
          <w:sz w:val="26"/>
          <w:szCs w:val="26"/>
        </w:rPr>
      </w:pPr>
      <w:r w:rsidRPr="00B21FC4">
        <w:rPr>
          <w:bCs/>
          <w:smallCaps w:val="0"/>
          <w:sz w:val="26"/>
          <w:szCs w:val="26"/>
        </w:rPr>
        <w:t>(CONSULT</w:t>
      </w:r>
      <w:r w:rsidR="001D70EB" w:rsidRPr="00B21FC4">
        <w:rPr>
          <w:bCs/>
          <w:smallCaps w:val="0"/>
          <w:sz w:val="26"/>
          <w:szCs w:val="26"/>
        </w:rPr>
        <w:t>ING</w:t>
      </w:r>
      <w:r w:rsidRPr="00B21FC4">
        <w:rPr>
          <w:bCs/>
          <w:smallCaps w:val="0"/>
          <w:sz w:val="26"/>
          <w:szCs w:val="26"/>
        </w:rPr>
        <w:t xml:space="preserve"> SERVICES</w:t>
      </w:r>
      <w:r w:rsidR="00A05A45" w:rsidRPr="00B21FC4">
        <w:rPr>
          <w:bCs/>
          <w:smallCaps w:val="0"/>
          <w:sz w:val="26"/>
          <w:szCs w:val="26"/>
        </w:rPr>
        <w:t xml:space="preserve"> – FIRMS SELECTION</w:t>
      </w:r>
      <w:r w:rsidRPr="00B21FC4">
        <w:rPr>
          <w:bCs/>
          <w:smallCaps w:val="0"/>
          <w:sz w:val="26"/>
          <w:szCs w:val="26"/>
        </w:rPr>
        <w:t>)</w:t>
      </w:r>
    </w:p>
    <w:p w14:paraId="2469C3A7" w14:textId="77777777" w:rsidR="009830E4" w:rsidRPr="0037139E" w:rsidRDefault="009830E4" w:rsidP="007E72D3">
      <w:pPr>
        <w:suppressAutoHyphens/>
        <w:rPr>
          <w:rFonts w:ascii="Times New Roman" w:hAnsi="Times New Roman"/>
          <w:spacing w:val="-2"/>
          <w:szCs w:val="22"/>
        </w:rPr>
      </w:pPr>
    </w:p>
    <w:p w14:paraId="08839D23" w14:textId="77777777" w:rsidR="009830E4" w:rsidRPr="0037139E" w:rsidRDefault="009830E4" w:rsidP="007E72D3">
      <w:pPr>
        <w:pStyle w:val="ChapterNumber"/>
        <w:tabs>
          <w:tab w:val="clear" w:pos="-720"/>
        </w:tabs>
        <w:rPr>
          <w:rFonts w:ascii="Times New Roman" w:hAnsi="Times New Roman"/>
          <w:spacing w:val="-2"/>
          <w:szCs w:val="22"/>
        </w:rPr>
      </w:pPr>
    </w:p>
    <w:p w14:paraId="3C2FF56C" w14:textId="77777777" w:rsidR="00B21FC4" w:rsidRPr="00E62241" w:rsidRDefault="00B21FC4" w:rsidP="00B21FC4">
      <w:pPr>
        <w:suppressAutoHyphens/>
        <w:rPr>
          <w:rFonts w:ascii="Times New Roman" w:hAnsi="Times New Roman"/>
          <w:b/>
          <w:spacing w:val="-2"/>
          <w:sz w:val="24"/>
        </w:rPr>
      </w:pPr>
      <w:r w:rsidRPr="00E62241">
        <w:rPr>
          <w:rFonts w:ascii="Times New Roman" w:hAnsi="Times New Roman"/>
          <w:b/>
          <w:spacing w:val="-2"/>
          <w:sz w:val="24"/>
        </w:rPr>
        <w:t>Republic of Serbia</w:t>
      </w:r>
    </w:p>
    <w:p w14:paraId="16E7026F" w14:textId="77777777" w:rsidR="00B21FC4" w:rsidRPr="00E62241" w:rsidRDefault="00CB1558" w:rsidP="00B21FC4">
      <w:pPr>
        <w:suppressAutoHyphens/>
        <w:rPr>
          <w:rFonts w:ascii="Times New Roman" w:hAnsi="Times New Roman"/>
          <w:b/>
          <w:spacing w:val="-2"/>
          <w:sz w:val="24"/>
        </w:rPr>
      </w:pPr>
      <w:r w:rsidRPr="00CB1558">
        <w:rPr>
          <w:rFonts w:ascii="Times New Roman" w:hAnsi="Times New Roman"/>
          <w:b/>
          <w:spacing w:val="-2"/>
          <w:sz w:val="24"/>
        </w:rPr>
        <w:t xml:space="preserve">Enabling Digital Governance in Serbia </w:t>
      </w:r>
      <w:r w:rsidR="00B21FC4" w:rsidRPr="00674B08">
        <w:rPr>
          <w:rFonts w:ascii="Times New Roman" w:hAnsi="Times New Roman"/>
          <w:b/>
          <w:spacing w:val="-2"/>
          <w:sz w:val="24"/>
        </w:rPr>
        <w:t>(</w:t>
      </w:r>
      <w:proofErr w:type="spellStart"/>
      <w:r w:rsidR="00B21FC4" w:rsidRPr="00674B08">
        <w:rPr>
          <w:rFonts w:ascii="Times New Roman" w:hAnsi="Times New Roman"/>
          <w:b/>
          <w:spacing w:val="-2"/>
          <w:sz w:val="24"/>
        </w:rPr>
        <w:t>E</w:t>
      </w:r>
      <w:r>
        <w:rPr>
          <w:rFonts w:ascii="Times New Roman" w:hAnsi="Times New Roman"/>
          <w:b/>
          <w:spacing w:val="-2"/>
          <w:sz w:val="24"/>
        </w:rPr>
        <w:t>DGe</w:t>
      </w:r>
      <w:proofErr w:type="spellEnd"/>
      <w:r w:rsidR="00B21FC4" w:rsidRPr="00674B08">
        <w:rPr>
          <w:rFonts w:ascii="Times New Roman" w:hAnsi="Times New Roman"/>
          <w:b/>
          <w:spacing w:val="-2"/>
          <w:sz w:val="24"/>
        </w:rPr>
        <w:t>)</w:t>
      </w:r>
    </w:p>
    <w:p w14:paraId="375519C4" w14:textId="77777777" w:rsidR="00B21FC4" w:rsidRPr="00D65D0B" w:rsidRDefault="00B21FC4" w:rsidP="00B21FC4">
      <w:pPr>
        <w:pStyle w:val="BodyText"/>
        <w:rPr>
          <w:rFonts w:ascii="Times New Roman" w:hAnsi="Times New Roman"/>
          <w:b/>
        </w:rPr>
      </w:pPr>
      <w:r w:rsidRPr="00D65D0B">
        <w:rPr>
          <w:rFonts w:ascii="Times New Roman" w:hAnsi="Times New Roman"/>
          <w:b/>
        </w:rPr>
        <w:t>Project ID No. P1</w:t>
      </w:r>
      <w:r w:rsidR="00CB1558">
        <w:rPr>
          <w:rFonts w:ascii="Times New Roman" w:hAnsi="Times New Roman"/>
          <w:b/>
        </w:rPr>
        <w:t>64824</w:t>
      </w:r>
    </w:p>
    <w:p w14:paraId="56CA4BF1" w14:textId="77777777" w:rsidR="00B21FC4" w:rsidRDefault="00B21FC4" w:rsidP="00B21FC4">
      <w:pPr>
        <w:suppressAutoHyphens/>
        <w:spacing w:after="120"/>
        <w:rPr>
          <w:rFonts w:ascii="Times New Roman" w:hAnsi="Times New Roman"/>
          <w:b/>
          <w:smallCaps/>
          <w:spacing w:val="-2"/>
          <w:szCs w:val="22"/>
        </w:rPr>
      </w:pPr>
    </w:p>
    <w:p w14:paraId="4704DF9D" w14:textId="317AD5EC" w:rsidR="00000720" w:rsidRPr="00000720" w:rsidRDefault="00EC50B8" w:rsidP="00000720">
      <w:pPr>
        <w:rPr>
          <w:rFonts w:ascii="Times New Roman" w:hAnsi="Times New Roman"/>
          <w:b/>
          <w:bCs/>
          <w:szCs w:val="22"/>
        </w:rPr>
      </w:pPr>
      <w:r w:rsidRPr="0037139E">
        <w:rPr>
          <w:rFonts w:ascii="Times New Roman" w:hAnsi="Times New Roman"/>
          <w:b/>
          <w:szCs w:val="22"/>
        </w:rPr>
        <w:t>Assignment Title</w:t>
      </w:r>
      <w:r w:rsidR="000C4041" w:rsidRPr="0037139E">
        <w:rPr>
          <w:rFonts w:ascii="Times New Roman" w:hAnsi="Times New Roman"/>
          <w:b/>
          <w:szCs w:val="22"/>
        </w:rPr>
        <w:t xml:space="preserve">: </w:t>
      </w:r>
      <w:r w:rsidR="00000720">
        <w:rPr>
          <w:rFonts w:ascii="Times New Roman" w:hAnsi="Times New Roman"/>
          <w:b/>
          <w:szCs w:val="22"/>
        </w:rPr>
        <w:t xml:space="preserve"> </w:t>
      </w:r>
      <w:r w:rsidR="004B18F2" w:rsidRPr="004B18F2">
        <w:rPr>
          <w:rFonts w:ascii="Times New Roman" w:hAnsi="Times New Roman"/>
          <w:b/>
          <w:bCs/>
          <w:szCs w:val="22"/>
        </w:rPr>
        <w:t>Legal Review for E-Wallet Implementation</w:t>
      </w:r>
    </w:p>
    <w:p w14:paraId="37CB5D93" w14:textId="0890D4E8" w:rsidR="00186F7D" w:rsidRPr="0037139E" w:rsidRDefault="00B21FC4" w:rsidP="00000720">
      <w:pPr>
        <w:rPr>
          <w:rFonts w:ascii="Times New Roman" w:hAnsi="Times New Roman"/>
          <w:b/>
          <w:bCs/>
          <w:szCs w:val="22"/>
        </w:rPr>
      </w:pPr>
      <w:r>
        <w:rPr>
          <w:rFonts w:ascii="Times New Roman" w:hAnsi="Times New Roman"/>
          <w:b/>
          <w:bCs/>
          <w:szCs w:val="22"/>
        </w:rPr>
        <w:t>Reference No. SER-</w:t>
      </w:r>
      <w:r w:rsidR="00CB1558">
        <w:rPr>
          <w:rFonts w:ascii="Times New Roman" w:hAnsi="Times New Roman"/>
          <w:b/>
          <w:bCs/>
          <w:szCs w:val="22"/>
        </w:rPr>
        <w:t>EDGE</w:t>
      </w:r>
      <w:r>
        <w:rPr>
          <w:rFonts w:ascii="Times New Roman" w:hAnsi="Times New Roman"/>
          <w:b/>
          <w:bCs/>
          <w:szCs w:val="22"/>
        </w:rPr>
        <w:t>-</w:t>
      </w:r>
      <w:r w:rsidRPr="00B21FC4">
        <w:rPr>
          <w:rFonts w:ascii="Times New Roman" w:hAnsi="Times New Roman"/>
          <w:b/>
          <w:bCs/>
          <w:szCs w:val="22"/>
        </w:rPr>
        <w:t>C</w:t>
      </w:r>
      <w:r>
        <w:rPr>
          <w:rFonts w:ascii="Times New Roman" w:hAnsi="Times New Roman"/>
          <w:b/>
          <w:bCs/>
          <w:szCs w:val="22"/>
        </w:rPr>
        <w:t>Q</w:t>
      </w:r>
      <w:r w:rsidR="00000720">
        <w:rPr>
          <w:rFonts w:ascii="Times New Roman" w:hAnsi="Times New Roman"/>
          <w:b/>
          <w:bCs/>
          <w:szCs w:val="22"/>
        </w:rPr>
        <w:t>S</w:t>
      </w:r>
      <w:r w:rsidRPr="00B21FC4">
        <w:rPr>
          <w:rFonts w:ascii="Times New Roman" w:hAnsi="Times New Roman"/>
          <w:b/>
          <w:bCs/>
          <w:szCs w:val="22"/>
        </w:rPr>
        <w:t>-CS-</w:t>
      </w:r>
      <w:r w:rsidR="00000720">
        <w:rPr>
          <w:rFonts w:ascii="Times New Roman" w:hAnsi="Times New Roman"/>
          <w:b/>
          <w:bCs/>
          <w:szCs w:val="22"/>
        </w:rPr>
        <w:t>25</w:t>
      </w:r>
      <w:r w:rsidRPr="00B21FC4">
        <w:rPr>
          <w:rFonts w:ascii="Times New Roman" w:hAnsi="Times New Roman"/>
          <w:b/>
          <w:bCs/>
          <w:szCs w:val="22"/>
        </w:rPr>
        <w:t>-</w:t>
      </w:r>
      <w:r w:rsidR="00000720">
        <w:rPr>
          <w:rFonts w:ascii="Times New Roman" w:hAnsi="Times New Roman"/>
          <w:b/>
          <w:bCs/>
          <w:szCs w:val="22"/>
        </w:rPr>
        <w:t>6</w:t>
      </w:r>
      <w:r w:rsidR="004B18F2">
        <w:rPr>
          <w:rFonts w:ascii="Times New Roman" w:hAnsi="Times New Roman"/>
          <w:b/>
          <w:bCs/>
          <w:szCs w:val="22"/>
        </w:rPr>
        <w:t>6</w:t>
      </w:r>
    </w:p>
    <w:p w14:paraId="0FD19424" w14:textId="77777777" w:rsidR="009830E4" w:rsidRPr="0037139E" w:rsidRDefault="009830E4" w:rsidP="007E72D3">
      <w:pPr>
        <w:suppressAutoHyphens/>
        <w:rPr>
          <w:rFonts w:ascii="Times New Roman" w:hAnsi="Times New Roman"/>
          <w:spacing w:val="-2"/>
          <w:szCs w:val="22"/>
        </w:rPr>
      </w:pPr>
    </w:p>
    <w:p w14:paraId="762CE458" w14:textId="77777777" w:rsidR="00B21FC4" w:rsidRPr="00B21FC4" w:rsidRDefault="00B21FC4" w:rsidP="00B21FC4">
      <w:pPr>
        <w:spacing w:before="120" w:after="120"/>
        <w:jc w:val="both"/>
        <w:rPr>
          <w:rFonts w:ascii="Times New Roman" w:hAnsi="Times New Roman"/>
          <w:spacing w:val="-2"/>
          <w:szCs w:val="22"/>
        </w:rPr>
      </w:pPr>
      <w:r w:rsidRPr="00B21FC4">
        <w:rPr>
          <w:rFonts w:ascii="Times New Roman" w:hAnsi="Times New Roman"/>
          <w:spacing w:val="-2"/>
          <w:szCs w:val="22"/>
        </w:rPr>
        <w:t xml:space="preserve">The Republic of Serbia has received financing in the amount of US$ 50,000,000 equivalent from the World Bank toward the cost of the </w:t>
      </w:r>
      <w:r w:rsidR="00CB1558" w:rsidRPr="00CB1558">
        <w:rPr>
          <w:rFonts w:ascii="Times New Roman" w:hAnsi="Times New Roman"/>
          <w:spacing w:val="-2"/>
          <w:szCs w:val="22"/>
        </w:rPr>
        <w:t>Enabling Digital Governance Project (</w:t>
      </w:r>
      <w:proofErr w:type="spellStart"/>
      <w:r w:rsidR="00CB1558" w:rsidRPr="00CB1558">
        <w:rPr>
          <w:rFonts w:ascii="Times New Roman" w:hAnsi="Times New Roman"/>
          <w:spacing w:val="-2"/>
          <w:szCs w:val="22"/>
        </w:rPr>
        <w:t>EDGe</w:t>
      </w:r>
      <w:proofErr w:type="spellEnd"/>
      <w:r w:rsidR="00CB1558" w:rsidRPr="00CB1558">
        <w:rPr>
          <w:rFonts w:ascii="Times New Roman" w:hAnsi="Times New Roman"/>
          <w:spacing w:val="-2"/>
          <w:szCs w:val="22"/>
        </w:rPr>
        <w:t>)</w:t>
      </w:r>
      <w:r w:rsidRPr="00B21FC4">
        <w:rPr>
          <w:rFonts w:ascii="Times New Roman" w:hAnsi="Times New Roman"/>
          <w:spacing w:val="-2"/>
          <w:szCs w:val="22"/>
        </w:rPr>
        <w:t xml:space="preserve">, and intends to apply part of the proceeds for consulting services. </w:t>
      </w:r>
    </w:p>
    <w:p w14:paraId="796CCF33" w14:textId="1A2D067E" w:rsidR="00CB1558" w:rsidRDefault="004B18F2" w:rsidP="00000720">
      <w:pPr>
        <w:spacing w:before="120" w:after="120"/>
        <w:jc w:val="both"/>
        <w:rPr>
          <w:rFonts w:ascii="Times New Roman" w:hAnsi="Times New Roman"/>
          <w:spacing w:val="-2"/>
          <w:szCs w:val="22"/>
        </w:rPr>
      </w:pPr>
      <w:r w:rsidRPr="004B18F2">
        <w:rPr>
          <w:rFonts w:ascii="Times New Roman" w:hAnsi="Times New Roman"/>
          <w:spacing w:val="-2"/>
          <w:szCs w:val="22"/>
        </w:rPr>
        <w:t>The Government of Serbia is committed to accelerating its digital transformation to enhance public service delivery, administrative efficiency, and transparency. A central element of this transformation is the establishment of an electronic wallet (e-wallet) system intended to securely digitize and streamline access to and verification of essential personal documents and public services. This initiative aligns with global best practices and the European Union's Electronic Identification, Authentication, and Trust Services regulation (eIDAS2), responding to a growing demand for secure and user-friendly digital identification solutions</w:t>
      </w:r>
      <w:r w:rsidR="00CB1558" w:rsidRPr="00CB1558">
        <w:rPr>
          <w:rFonts w:ascii="Times New Roman" w:hAnsi="Times New Roman"/>
          <w:spacing w:val="-2"/>
          <w:szCs w:val="22"/>
        </w:rPr>
        <w:t>.</w:t>
      </w:r>
      <w:r w:rsidR="00CB1558">
        <w:rPr>
          <w:rFonts w:ascii="Times New Roman" w:hAnsi="Times New Roman"/>
          <w:spacing w:val="-2"/>
          <w:szCs w:val="22"/>
        </w:rPr>
        <w:t xml:space="preserve"> </w:t>
      </w:r>
    </w:p>
    <w:p w14:paraId="5E55D2C8" w14:textId="77777777" w:rsidR="00B21FC4" w:rsidRDefault="00B21FC4" w:rsidP="00CB1558">
      <w:pPr>
        <w:spacing w:before="120" w:after="120"/>
        <w:jc w:val="both"/>
        <w:rPr>
          <w:rFonts w:ascii="Times New Roman" w:hAnsi="Times New Roman"/>
          <w:spacing w:val="-2"/>
          <w:szCs w:val="22"/>
        </w:rPr>
      </w:pPr>
      <w:r w:rsidRPr="00B21FC4">
        <w:rPr>
          <w:rFonts w:ascii="Times New Roman" w:hAnsi="Times New Roman"/>
          <w:spacing w:val="-2"/>
          <w:szCs w:val="22"/>
        </w:rPr>
        <w:t xml:space="preserve">The scope of assignment for consulting services include: </w:t>
      </w:r>
    </w:p>
    <w:p w14:paraId="4BF47A53" w14:textId="77777777" w:rsidR="004B18F2" w:rsidRPr="006515F2" w:rsidRDefault="00000720" w:rsidP="004B18F2">
      <w:pPr>
        <w:pStyle w:val="Bulit"/>
        <w:rPr>
          <w:rFonts w:eastAsiaTheme="minorHAnsi" w:cs="Times New Roman"/>
          <w:bCs w:val="0"/>
          <w:szCs w:val="22"/>
          <w:bdr w:val="none" w:sz="0" w:space="0" w:color="auto"/>
        </w:rPr>
      </w:pPr>
      <w:r>
        <w:rPr>
          <w:szCs w:val="22"/>
        </w:rPr>
        <w:t xml:space="preserve">  </w:t>
      </w:r>
      <w:r w:rsidR="004B18F2" w:rsidRPr="006515F2">
        <w:rPr>
          <w:rFonts w:eastAsiaTheme="minorHAnsi" w:cs="Times New Roman"/>
          <w:bCs w:val="0"/>
          <w:szCs w:val="22"/>
          <w:bdr w:val="none" w:sz="0" w:space="0" w:color="auto"/>
        </w:rPr>
        <w:t xml:space="preserve">The consulting firm </w:t>
      </w:r>
      <w:proofErr w:type="gramStart"/>
      <w:r w:rsidR="004B18F2" w:rsidRPr="006515F2">
        <w:rPr>
          <w:rFonts w:eastAsiaTheme="minorHAnsi" w:cs="Times New Roman"/>
          <w:bCs w:val="0"/>
          <w:szCs w:val="22"/>
          <w:bdr w:val="none" w:sz="0" w:space="0" w:color="auto"/>
        </w:rPr>
        <w:t>is expected</w:t>
      </w:r>
      <w:proofErr w:type="gramEnd"/>
      <w:r w:rsidR="004B18F2" w:rsidRPr="006515F2">
        <w:rPr>
          <w:rFonts w:eastAsiaTheme="minorHAnsi" w:cs="Times New Roman"/>
          <w:bCs w:val="0"/>
          <w:szCs w:val="22"/>
          <w:bdr w:val="none" w:sz="0" w:space="0" w:color="auto"/>
        </w:rPr>
        <w:t xml:space="preserve"> to conduct an in-depth legal analysis covering specific Serbian laws, regulations, bylaws, and relevant government decisions associated with the identified priority use cases. Initially, the firm will perform a detailed examination of legislation related to civil registration for birth and marriage certificates, healthcare regulations and insurance provisions, traffic and transportation legislation applicable to driver’s licenses and vehicle registrations, and immigration and residence policies affecting foreign nationals.   </w:t>
      </w:r>
    </w:p>
    <w:p w14:paraId="7D05935F" w14:textId="77777777" w:rsidR="004B18F2" w:rsidRPr="006515F2" w:rsidRDefault="004B18F2" w:rsidP="004B18F2">
      <w:pPr>
        <w:pStyle w:val="Bulit"/>
        <w:rPr>
          <w:rFonts w:eastAsiaTheme="minorHAnsi" w:cs="Times New Roman"/>
          <w:bCs w:val="0"/>
          <w:szCs w:val="22"/>
          <w:bdr w:val="none" w:sz="0" w:space="0" w:color="auto"/>
        </w:rPr>
      </w:pPr>
      <w:r w:rsidRPr="006515F2">
        <w:rPr>
          <w:rFonts w:eastAsiaTheme="minorHAnsi" w:cs="Times New Roman"/>
          <w:bCs w:val="0"/>
          <w:szCs w:val="22"/>
          <w:bdr w:val="none" w:sz="0" w:space="0" w:color="auto"/>
        </w:rPr>
        <w:t>Following the initial analysis, the firm will evaluate existing legal provisions within these sectors related to digital identity, electronic transactions, data protection, cybersecurity, and trust services. This assessment will identify specific legislative barriers or gaps that hinder the digitization and integration of these priority services into the e-wallet.</w:t>
      </w:r>
    </w:p>
    <w:p w14:paraId="59F39FD1" w14:textId="77777777" w:rsidR="004B18F2" w:rsidRPr="00854F7A" w:rsidRDefault="004B18F2" w:rsidP="004B18F2">
      <w:pPr>
        <w:pStyle w:val="Bulit"/>
        <w:rPr>
          <w:rFonts w:eastAsia="Times New Roman" w:cstheme="majorBidi"/>
        </w:rPr>
      </w:pPr>
      <w:r w:rsidRPr="006515F2">
        <w:rPr>
          <w:rFonts w:eastAsiaTheme="minorHAnsi" w:cs="Times New Roman"/>
          <w:bCs w:val="0"/>
          <w:szCs w:val="22"/>
          <w:bdr w:val="none" w:sz="0" w:space="0" w:color="auto"/>
        </w:rPr>
        <w:t xml:space="preserve">Furthermore, the consulting firm will assess the alignment of Serbian legislation with eIDAS2, international standards, and best practices. Recommendations for detailed legislative amendments </w:t>
      </w:r>
      <w:proofErr w:type="gramStart"/>
      <w:r w:rsidRPr="006515F2">
        <w:rPr>
          <w:rFonts w:eastAsiaTheme="minorHAnsi" w:cs="Times New Roman"/>
          <w:bCs w:val="0"/>
          <w:szCs w:val="22"/>
          <w:bdr w:val="none" w:sz="0" w:space="0" w:color="auto"/>
        </w:rPr>
        <w:t>will be formulated</w:t>
      </w:r>
      <w:proofErr w:type="gramEnd"/>
      <w:r w:rsidRPr="006515F2">
        <w:rPr>
          <w:rFonts w:eastAsiaTheme="minorHAnsi" w:cs="Times New Roman"/>
          <w:bCs w:val="0"/>
          <w:szCs w:val="22"/>
          <w:bdr w:val="none" w:sz="0" w:space="0" w:color="auto"/>
        </w:rPr>
        <w:t xml:space="preserve">, clearly specifying changes necessary to eliminate identified barriers, ensure interoperability, maintain high security standards, and facilitate effective and compliant implementation of the e-wallet system across the defined priority use cases. </w:t>
      </w:r>
    </w:p>
    <w:p w14:paraId="7246FBF3" w14:textId="57FB17A8" w:rsidR="004B18F2" w:rsidRPr="004B18F2" w:rsidRDefault="004B18F2" w:rsidP="004B18F2">
      <w:pPr>
        <w:pStyle w:val="Bulit"/>
        <w:rPr>
          <w:rFonts w:eastAsia="Times New Roman" w:cstheme="majorBidi"/>
        </w:rPr>
      </w:pPr>
      <w:r w:rsidRPr="00026335">
        <w:rPr>
          <w:rFonts w:eastAsiaTheme="minorHAnsi" w:cs="Times New Roman"/>
          <w:bCs w:val="0"/>
          <w:szCs w:val="22"/>
          <w:bdr w:val="none" w:sz="0" w:space="0" w:color="auto"/>
        </w:rPr>
        <w:t xml:space="preserve">Preparation of amendments to regulations that need to </w:t>
      </w:r>
      <w:proofErr w:type="gramStart"/>
      <w:r w:rsidRPr="00026335">
        <w:rPr>
          <w:rFonts w:eastAsiaTheme="minorHAnsi" w:cs="Times New Roman"/>
          <w:bCs w:val="0"/>
          <w:szCs w:val="22"/>
          <w:bdr w:val="none" w:sz="0" w:space="0" w:color="auto"/>
        </w:rPr>
        <w:t>be changed</w:t>
      </w:r>
      <w:proofErr w:type="gramEnd"/>
      <w:r w:rsidRPr="00026335">
        <w:rPr>
          <w:rFonts w:eastAsiaTheme="minorHAnsi" w:cs="Times New Roman"/>
          <w:bCs w:val="0"/>
          <w:szCs w:val="22"/>
          <w:bdr w:val="none" w:sz="0" w:space="0" w:color="auto"/>
        </w:rPr>
        <w:t xml:space="preserve"> on a turnkey basis.</w:t>
      </w:r>
    </w:p>
    <w:p w14:paraId="3BF13FE5" w14:textId="77777777" w:rsidR="004B18F2" w:rsidRDefault="004B18F2" w:rsidP="004B18F2">
      <w:pPr>
        <w:pStyle w:val="Bulit"/>
        <w:rPr>
          <w:rFonts w:eastAsia="Times New Roman" w:cstheme="majorBidi"/>
        </w:rPr>
      </w:pPr>
      <w:r w:rsidRPr="004B18F2">
        <w:rPr>
          <w:rFonts w:eastAsia="Times New Roman" w:cstheme="majorBidi"/>
        </w:rPr>
        <w:t>Support the working group for the establishment of a Digital ID wallet in preparation of a regulatory framework for Digital ID wallet establishment</w:t>
      </w:r>
      <w:r>
        <w:rPr>
          <w:rFonts w:eastAsia="Times New Roman" w:cstheme="majorBidi"/>
        </w:rPr>
        <w:t>.</w:t>
      </w:r>
    </w:p>
    <w:p w14:paraId="248B39F9" w14:textId="4607AA16" w:rsidR="00000720" w:rsidRPr="004B18F2" w:rsidRDefault="004B18F2" w:rsidP="004B18F2">
      <w:pPr>
        <w:pStyle w:val="Bulit"/>
        <w:numPr>
          <w:ilvl w:val="0"/>
          <w:numId w:val="0"/>
        </w:numPr>
        <w:rPr>
          <w:rFonts w:eastAsia="Times New Roman" w:cstheme="majorBidi"/>
        </w:rPr>
      </w:pPr>
      <w:r w:rsidRPr="004B18F2">
        <w:rPr>
          <w:spacing w:val="-2"/>
          <w:szCs w:val="22"/>
        </w:rPr>
        <w:t xml:space="preserve">The </w:t>
      </w:r>
      <w:r>
        <w:rPr>
          <w:spacing w:val="-2"/>
          <w:szCs w:val="22"/>
        </w:rPr>
        <w:t>consulting firm</w:t>
      </w:r>
      <w:r w:rsidRPr="004B18F2">
        <w:rPr>
          <w:spacing w:val="-2"/>
          <w:szCs w:val="22"/>
        </w:rPr>
        <w:t xml:space="preserve"> shall perform the Services over </w:t>
      </w:r>
      <w:proofErr w:type="gramStart"/>
      <w:r w:rsidRPr="004B18F2">
        <w:rPr>
          <w:spacing w:val="-2"/>
          <w:szCs w:val="22"/>
        </w:rPr>
        <w:t>5</w:t>
      </w:r>
      <w:proofErr w:type="gramEnd"/>
      <w:r w:rsidRPr="004B18F2">
        <w:rPr>
          <w:spacing w:val="-2"/>
          <w:szCs w:val="22"/>
        </w:rPr>
        <w:t xml:space="preserve"> (five) months, approximately</w:t>
      </w:r>
      <w:r w:rsidR="00000720" w:rsidRPr="004B18F2">
        <w:rPr>
          <w:spacing w:val="-2"/>
          <w:szCs w:val="22"/>
        </w:rPr>
        <w:t>.</w:t>
      </w:r>
    </w:p>
    <w:p w14:paraId="5ECD7EAA" w14:textId="7A803C03" w:rsidR="00AD2E13" w:rsidRDefault="00AD2E13" w:rsidP="00F648FF">
      <w:pPr>
        <w:suppressAutoHyphens/>
        <w:spacing w:before="120" w:after="120"/>
        <w:jc w:val="both"/>
      </w:pPr>
      <w:r w:rsidRPr="00AD2E13">
        <w:rPr>
          <w:rFonts w:ascii="Times New Roman" w:hAnsi="Times New Roman"/>
          <w:spacing w:val="-2"/>
          <w:szCs w:val="22"/>
        </w:rPr>
        <w:t>The detailed Terms of Reference</w:t>
      </w:r>
      <w:r w:rsidR="00930962">
        <w:rPr>
          <w:rFonts w:ascii="Times New Roman" w:hAnsi="Times New Roman"/>
          <w:spacing w:val="-2"/>
          <w:szCs w:val="22"/>
        </w:rPr>
        <w:t xml:space="preserve"> (ToR)</w:t>
      </w:r>
      <w:r w:rsidRPr="00AD2E13">
        <w:rPr>
          <w:rFonts w:ascii="Times New Roman" w:hAnsi="Times New Roman"/>
          <w:spacing w:val="-2"/>
          <w:szCs w:val="22"/>
        </w:rPr>
        <w:t xml:space="preserve"> </w:t>
      </w:r>
      <w:r w:rsidR="00822D7D">
        <w:rPr>
          <w:rFonts w:ascii="Times New Roman" w:hAnsi="Times New Roman"/>
          <w:spacing w:val="-2"/>
          <w:szCs w:val="22"/>
        </w:rPr>
        <w:t>and Request for Expressions of Interest (</w:t>
      </w:r>
      <w:proofErr w:type="spellStart"/>
      <w:r w:rsidR="00822D7D">
        <w:rPr>
          <w:rFonts w:ascii="Times New Roman" w:hAnsi="Times New Roman"/>
          <w:spacing w:val="-2"/>
          <w:szCs w:val="22"/>
        </w:rPr>
        <w:t>REoI</w:t>
      </w:r>
      <w:proofErr w:type="spellEnd"/>
      <w:r w:rsidR="00822D7D">
        <w:rPr>
          <w:rFonts w:ascii="Times New Roman" w:hAnsi="Times New Roman"/>
          <w:spacing w:val="-2"/>
          <w:szCs w:val="22"/>
        </w:rPr>
        <w:t xml:space="preserve">) </w:t>
      </w:r>
      <w:r w:rsidRPr="00AD2E13">
        <w:rPr>
          <w:rFonts w:ascii="Times New Roman" w:hAnsi="Times New Roman"/>
          <w:spacing w:val="-2"/>
          <w:szCs w:val="22"/>
        </w:rPr>
        <w:t xml:space="preserve">for the above referenced consulting services </w:t>
      </w:r>
      <w:proofErr w:type="gramStart"/>
      <w:r w:rsidR="00822D7D">
        <w:rPr>
          <w:rFonts w:ascii="Times New Roman" w:hAnsi="Times New Roman"/>
          <w:spacing w:val="-2"/>
          <w:szCs w:val="22"/>
        </w:rPr>
        <w:t>are</w:t>
      </w:r>
      <w:r w:rsidRPr="00AD2E13">
        <w:rPr>
          <w:rFonts w:ascii="Times New Roman" w:hAnsi="Times New Roman"/>
          <w:spacing w:val="-2"/>
          <w:szCs w:val="22"/>
        </w:rPr>
        <w:t xml:space="preserve"> posted</w:t>
      </w:r>
      <w:proofErr w:type="gramEnd"/>
      <w:r w:rsidRPr="00AD2E13">
        <w:rPr>
          <w:rFonts w:ascii="Times New Roman" w:hAnsi="Times New Roman"/>
          <w:spacing w:val="-2"/>
          <w:szCs w:val="22"/>
        </w:rPr>
        <w:t xml:space="preserve"> on the website of the </w:t>
      </w:r>
      <w:r w:rsidR="007A40C5">
        <w:rPr>
          <w:rFonts w:ascii="Times New Roman" w:hAnsi="Times New Roman"/>
          <w:spacing w:val="-2"/>
          <w:szCs w:val="22"/>
        </w:rPr>
        <w:t>OITeG</w:t>
      </w:r>
      <w:r w:rsidRPr="00AD2E13">
        <w:rPr>
          <w:rFonts w:ascii="Times New Roman" w:hAnsi="Times New Roman"/>
          <w:spacing w:val="-2"/>
          <w:szCs w:val="22"/>
        </w:rPr>
        <w:t xml:space="preserve"> at </w:t>
      </w:r>
      <w:hyperlink r:id="rId8" w:history="1">
        <w:r w:rsidR="007A40C5" w:rsidRPr="00000720">
          <w:rPr>
            <w:rStyle w:val="Hyperlink"/>
            <w:highlight w:val="yellow"/>
          </w:rPr>
          <w:t>https://www.ite.gov.rs/edge</w:t>
        </w:r>
      </w:hyperlink>
    </w:p>
    <w:p w14:paraId="0C812451" w14:textId="77777777" w:rsidR="007E72D3" w:rsidRDefault="009830E4" w:rsidP="00F648FF">
      <w:pPr>
        <w:suppressAutoHyphens/>
        <w:spacing w:before="120" w:after="120"/>
        <w:jc w:val="both"/>
        <w:rPr>
          <w:rFonts w:ascii="Times New Roman" w:hAnsi="Times New Roman"/>
          <w:spacing w:val="-2"/>
          <w:szCs w:val="22"/>
        </w:rPr>
      </w:pPr>
      <w:r w:rsidRPr="0037139E">
        <w:rPr>
          <w:rFonts w:ascii="Times New Roman" w:hAnsi="Times New Roman"/>
          <w:spacing w:val="-2"/>
          <w:szCs w:val="22"/>
        </w:rPr>
        <w:t xml:space="preserve">The </w:t>
      </w:r>
      <w:r w:rsidR="00CE0D2A">
        <w:rPr>
          <w:rFonts w:ascii="Times New Roman" w:hAnsi="Times New Roman"/>
          <w:spacing w:val="-2"/>
          <w:szCs w:val="22"/>
        </w:rPr>
        <w:t xml:space="preserve">Central Fiduciary Unit (CFU) of the </w:t>
      </w:r>
      <w:r w:rsidR="00332518" w:rsidRPr="0037139E">
        <w:rPr>
          <w:rFonts w:ascii="Times New Roman" w:hAnsi="Times New Roman"/>
          <w:spacing w:val="-2"/>
          <w:szCs w:val="22"/>
        </w:rPr>
        <w:t xml:space="preserve">Ministry of Finance </w:t>
      </w:r>
      <w:r w:rsidR="001D70EB" w:rsidRPr="0037139E">
        <w:rPr>
          <w:rFonts w:ascii="Times New Roman" w:hAnsi="Times New Roman"/>
          <w:spacing w:val="-2"/>
          <w:szCs w:val="22"/>
        </w:rPr>
        <w:t>now invites eligible consulting firms</w:t>
      </w:r>
      <w:r w:rsidRPr="0037139E">
        <w:rPr>
          <w:rFonts w:ascii="Times New Roman" w:hAnsi="Times New Roman"/>
          <w:spacing w:val="-2"/>
          <w:szCs w:val="22"/>
        </w:rPr>
        <w:t xml:space="preserve"> </w:t>
      </w:r>
      <w:r w:rsidR="001D70EB" w:rsidRPr="0037139E">
        <w:rPr>
          <w:rFonts w:ascii="Times New Roman" w:hAnsi="Times New Roman"/>
          <w:spacing w:val="-2"/>
          <w:szCs w:val="22"/>
        </w:rPr>
        <w:t xml:space="preserve">(“Consultants”) </w:t>
      </w:r>
      <w:r w:rsidRPr="0037139E">
        <w:rPr>
          <w:rFonts w:ascii="Times New Roman" w:hAnsi="Times New Roman"/>
          <w:spacing w:val="-2"/>
          <w:szCs w:val="22"/>
        </w:rPr>
        <w:t xml:space="preserve">to indicate their interest in providing the </w:t>
      </w:r>
      <w:r w:rsidR="006D6898" w:rsidRPr="0037139E">
        <w:rPr>
          <w:rFonts w:ascii="Times New Roman" w:hAnsi="Times New Roman"/>
          <w:spacing w:val="-2"/>
          <w:szCs w:val="22"/>
        </w:rPr>
        <w:t>S</w:t>
      </w:r>
      <w:r w:rsidRPr="0037139E">
        <w:rPr>
          <w:rFonts w:ascii="Times New Roman" w:hAnsi="Times New Roman"/>
          <w:spacing w:val="-2"/>
          <w:szCs w:val="22"/>
        </w:rPr>
        <w:t xml:space="preserve">ervices. Interested </w:t>
      </w:r>
      <w:r w:rsidR="001D70EB" w:rsidRPr="0037139E">
        <w:rPr>
          <w:rFonts w:ascii="Times New Roman" w:hAnsi="Times New Roman"/>
          <w:spacing w:val="-2"/>
          <w:szCs w:val="22"/>
        </w:rPr>
        <w:t>C</w:t>
      </w:r>
      <w:r w:rsidRPr="0037139E">
        <w:rPr>
          <w:rFonts w:ascii="Times New Roman" w:hAnsi="Times New Roman"/>
          <w:spacing w:val="-2"/>
          <w:szCs w:val="22"/>
        </w:rPr>
        <w:t xml:space="preserve">onsultants </w:t>
      </w:r>
      <w:r w:rsidR="00E07E32" w:rsidRPr="0037139E">
        <w:rPr>
          <w:rFonts w:ascii="Times New Roman" w:hAnsi="Times New Roman"/>
          <w:spacing w:val="-2"/>
          <w:szCs w:val="22"/>
        </w:rPr>
        <w:t>should</w:t>
      </w:r>
      <w:r w:rsidRPr="0037139E">
        <w:rPr>
          <w:rFonts w:ascii="Times New Roman" w:hAnsi="Times New Roman"/>
          <w:spacing w:val="-2"/>
          <w:szCs w:val="22"/>
        </w:rPr>
        <w:t xml:space="preserve"> provide information </w:t>
      </w:r>
      <w:r w:rsidR="006D6898" w:rsidRPr="0037139E">
        <w:rPr>
          <w:rFonts w:ascii="Times New Roman" w:hAnsi="Times New Roman"/>
          <w:spacing w:val="-2"/>
          <w:szCs w:val="22"/>
        </w:rPr>
        <w:t xml:space="preserve">demonstrating </w:t>
      </w:r>
      <w:r w:rsidRPr="0037139E">
        <w:rPr>
          <w:rFonts w:ascii="Times New Roman" w:hAnsi="Times New Roman"/>
          <w:spacing w:val="-2"/>
          <w:szCs w:val="22"/>
        </w:rPr>
        <w:t xml:space="preserve">that they </w:t>
      </w:r>
      <w:r w:rsidR="00E07E32" w:rsidRPr="0037139E">
        <w:rPr>
          <w:rFonts w:ascii="Times New Roman" w:hAnsi="Times New Roman"/>
          <w:spacing w:val="-2"/>
          <w:szCs w:val="22"/>
        </w:rPr>
        <w:t xml:space="preserve">have the required qualifications and </w:t>
      </w:r>
      <w:r w:rsidR="00916E24" w:rsidRPr="0037139E">
        <w:rPr>
          <w:rFonts w:ascii="Times New Roman" w:hAnsi="Times New Roman"/>
          <w:spacing w:val="-2"/>
          <w:szCs w:val="22"/>
        </w:rPr>
        <w:t xml:space="preserve">relevant </w:t>
      </w:r>
      <w:r w:rsidR="00E07E32" w:rsidRPr="0037139E">
        <w:rPr>
          <w:rFonts w:ascii="Times New Roman" w:hAnsi="Times New Roman"/>
          <w:spacing w:val="-2"/>
          <w:szCs w:val="22"/>
        </w:rPr>
        <w:t>experience</w:t>
      </w:r>
      <w:r w:rsidRPr="0037139E">
        <w:rPr>
          <w:rFonts w:ascii="Times New Roman" w:hAnsi="Times New Roman"/>
          <w:spacing w:val="-2"/>
          <w:szCs w:val="22"/>
        </w:rPr>
        <w:t xml:space="preserve"> to perform the </w:t>
      </w:r>
      <w:r w:rsidR="006D6898" w:rsidRPr="0037139E">
        <w:rPr>
          <w:rFonts w:ascii="Times New Roman" w:hAnsi="Times New Roman"/>
          <w:spacing w:val="-2"/>
          <w:szCs w:val="22"/>
        </w:rPr>
        <w:t>S</w:t>
      </w:r>
      <w:r w:rsidRPr="0037139E">
        <w:rPr>
          <w:rFonts w:ascii="Times New Roman" w:hAnsi="Times New Roman"/>
          <w:spacing w:val="-2"/>
          <w:szCs w:val="22"/>
        </w:rPr>
        <w:t>ervices</w:t>
      </w:r>
      <w:r w:rsidR="000C4041" w:rsidRPr="0037139E">
        <w:rPr>
          <w:rFonts w:ascii="Times New Roman" w:hAnsi="Times New Roman"/>
          <w:spacing w:val="-2"/>
          <w:szCs w:val="22"/>
        </w:rPr>
        <w:t>.</w:t>
      </w:r>
      <w:r w:rsidRPr="0037139E">
        <w:rPr>
          <w:rFonts w:ascii="Times New Roman" w:hAnsi="Times New Roman"/>
          <w:spacing w:val="-2"/>
          <w:szCs w:val="22"/>
        </w:rPr>
        <w:t xml:space="preserve"> </w:t>
      </w:r>
    </w:p>
    <w:p w14:paraId="515AE1C2" w14:textId="77777777" w:rsidR="007D1C85" w:rsidRPr="0037139E" w:rsidRDefault="007D1C85" w:rsidP="007D1C85">
      <w:pPr>
        <w:suppressAutoHyphens/>
        <w:spacing w:before="120" w:after="120"/>
        <w:jc w:val="both"/>
        <w:rPr>
          <w:rFonts w:ascii="Times New Roman" w:hAnsi="Times New Roman"/>
          <w:spacing w:val="-2"/>
          <w:szCs w:val="22"/>
        </w:rPr>
      </w:pPr>
      <w:r w:rsidRPr="0037139E">
        <w:rPr>
          <w:rFonts w:ascii="Times New Roman" w:hAnsi="Times New Roman"/>
          <w:spacing w:val="-2"/>
          <w:szCs w:val="22"/>
        </w:rPr>
        <w:t xml:space="preserve">The short listing criteria are: </w:t>
      </w:r>
    </w:p>
    <w:tbl>
      <w:tblPr>
        <w:tblStyle w:val="TableGrid"/>
        <w:tblW w:w="10980" w:type="dxa"/>
        <w:tblInd w:w="108" w:type="dxa"/>
        <w:tblLook w:val="04A0" w:firstRow="1" w:lastRow="0" w:firstColumn="1" w:lastColumn="0" w:noHBand="0" w:noVBand="1"/>
      </w:tblPr>
      <w:tblGrid>
        <w:gridCol w:w="400"/>
        <w:gridCol w:w="9230"/>
        <w:gridCol w:w="1350"/>
      </w:tblGrid>
      <w:tr w:rsidR="007D1C85" w:rsidRPr="0037139E" w14:paraId="6FCA6345" w14:textId="77777777" w:rsidTr="003E56E4">
        <w:trPr>
          <w:trHeight w:val="276"/>
        </w:trPr>
        <w:tc>
          <w:tcPr>
            <w:tcW w:w="400" w:type="dxa"/>
            <w:vAlign w:val="center"/>
          </w:tcPr>
          <w:p w14:paraId="2693C15F" w14:textId="77777777" w:rsidR="007D1C85" w:rsidRPr="0037139E" w:rsidRDefault="007D1C85" w:rsidP="003E56E4">
            <w:pPr>
              <w:pStyle w:val="ListParagraph"/>
              <w:ind w:left="0"/>
              <w:jc w:val="center"/>
              <w:rPr>
                <w:rFonts w:ascii="Times New Roman" w:hAnsi="Times New Roman" w:cs="Times New Roman"/>
                <w:i/>
              </w:rPr>
            </w:pPr>
            <w:r w:rsidRPr="0037139E">
              <w:rPr>
                <w:rFonts w:ascii="Times New Roman" w:hAnsi="Times New Roman" w:cs="Times New Roman"/>
                <w:i/>
              </w:rPr>
              <w:t>#</w:t>
            </w:r>
          </w:p>
        </w:tc>
        <w:tc>
          <w:tcPr>
            <w:tcW w:w="9230" w:type="dxa"/>
            <w:vAlign w:val="center"/>
          </w:tcPr>
          <w:p w14:paraId="0D6E1096" w14:textId="77777777" w:rsidR="007D1C85" w:rsidRPr="007D1C85" w:rsidRDefault="007D1C85" w:rsidP="003E56E4">
            <w:pPr>
              <w:pStyle w:val="ListParagraph"/>
              <w:ind w:left="0"/>
              <w:jc w:val="center"/>
              <w:rPr>
                <w:rFonts w:ascii="Times New Roman" w:hAnsi="Times New Roman" w:cs="Times New Roman"/>
                <w:b/>
                <w:i/>
                <w:u w:val="single"/>
              </w:rPr>
            </w:pPr>
            <w:r w:rsidRPr="007D1C85">
              <w:rPr>
                <w:rFonts w:ascii="Times New Roman" w:hAnsi="Times New Roman" w:cs="Times New Roman"/>
                <w:i/>
              </w:rPr>
              <w:t>Criteria</w:t>
            </w:r>
          </w:p>
        </w:tc>
        <w:tc>
          <w:tcPr>
            <w:tcW w:w="1350" w:type="dxa"/>
            <w:vAlign w:val="center"/>
          </w:tcPr>
          <w:p w14:paraId="527F1160" w14:textId="77777777" w:rsidR="007D1C85" w:rsidRPr="007D1C85" w:rsidRDefault="007D1C85" w:rsidP="003E56E4">
            <w:pPr>
              <w:jc w:val="center"/>
              <w:rPr>
                <w:rFonts w:ascii="Times New Roman" w:hAnsi="Times New Roman" w:cs="Times New Roman"/>
                <w:i/>
              </w:rPr>
            </w:pPr>
            <w:r w:rsidRPr="007D1C85">
              <w:rPr>
                <w:rFonts w:ascii="Times New Roman" w:hAnsi="Times New Roman" w:cs="Times New Roman"/>
                <w:i/>
              </w:rPr>
              <w:t>Weight</w:t>
            </w:r>
          </w:p>
        </w:tc>
      </w:tr>
      <w:tr w:rsidR="007D1C85" w:rsidRPr="0037139E" w14:paraId="5574E484" w14:textId="77777777" w:rsidTr="003E56E4">
        <w:trPr>
          <w:trHeight w:val="413"/>
        </w:trPr>
        <w:tc>
          <w:tcPr>
            <w:tcW w:w="400" w:type="dxa"/>
            <w:vAlign w:val="center"/>
          </w:tcPr>
          <w:p w14:paraId="424F2E46" w14:textId="77777777" w:rsidR="007D1C85" w:rsidRPr="0037139E" w:rsidRDefault="007D1C85" w:rsidP="003E56E4">
            <w:pPr>
              <w:pStyle w:val="ListParagraph"/>
              <w:ind w:left="0"/>
              <w:jc w:val="center"/>
              <w:rPr>
                <w:rFonts w:ascii="Times New Roman" w:hAnsi="Times New Roman" w:cs="Times New Roman"/>
              </w:rPr>
            </w:pPr>
            <w:r w:rsidRPr="0037139E">
              <w:rPr>
                <w:rFonts w:ascii="Times New Roman" w:hAnsi="Times New Roman" w:cs="Times New Roman"/>
              </w:rPr>
              <w:lastRenderedPageBreak/>
              <w:t>1</w:t>
            </w:r>
          </w:p>
        </w:tc>
        <w:tc>
          <w:tcPr>
            <w:tcW w:w="9230" w:type="dxa"/>
            <w:vAlign w:val="center"/>
          </w:tcPr>
          <w:p w14:paraId="72AF15F5" w14:textId="2DB116D4" w:rsidR="007D1C85" w:rsidRPr="005377AC" w:rsidRDefault="007D1C85" w:rsidP="00905385">
            <w:pPr>
              <w:pStyle w:val="ListParagraph"/>
              <w:ind w:left="0"/>
              <w:jc w:val="left"/>
              <w:rPr>
                <w:rFonts w:ascii="Times New Roman" w:hAnsi="Times New Roman" w:cs="Times New Roman"/>
              </w:rPr>
            </w:pPr>
            <w:r w:rsidRPr="005377AC">
              <w:rPr>
                <w:rFonts w:ascii="Times New Roman" w:hAnsi="Times New Roman" w:cs="Times New Roman"/>
              </w:rPr>
              <w:t xml:space="preserve">General experience of the </w:t>
            </w:r>
            <w:r w:rsidR="00905385">
              <w:rPr>
                <w:rFonts w:ascii="Times New Roman" w:hAnsi="Times New Roman" w:cs="Times New Roman"/>
              </w:rPr>
              <w:t>firm</w:t>
            </w:r>
          </w:p>
        </w:tc>
        <w:tc>
          <w:tcPr>
            <w:tcW w:w="1350" w:type="dxa"/>
            <w:vAlign w:val="center"/>
          </w:tcPr>
          <w:p w14:paraId="41EA52BD" w14:textId="06D18229" w:rsidR="007D1C85" w:rsidRPr="005377AC" w:rsidRDefault="00905385" w:rsidP="003E56E4">
            <w:pPr>
              <w:jc w:val="center"/>
              <w:rPr>
                <w:rFonts w:ascii="Times New Roman" w:hAnsi="Times New Roman" w:cs="Times New Roman"/>
                <w:b/>
              </w:rPr>
            </w:pPr>
            <w:r>
              <w:rPr>
                <w:rFonts w:ascii="Times New Roman" w:hAnsi="Times New Roman" w:cs="Times New Roman"/>
                <w:b/>
              </w:rPr>
              <w:t>5</w:t>
            </w:r>
            <w:r w:rsidR="007D1C85" w:rsidRPr="005377AC">
              <w:rPr>
                <w:rFonts w:ascii="Times New Roman" w:hAnsi="Times New Roman" w:cs="Times New Roman"/>
                <w:b/>
              </w:rPr>
              <w:t>0</w:t>
            </w:r>
          </w:p>
        </w:tc>
      </w:tr>
      <w:tr w:rsidR="007D1C85" w:rsidRPr="0037139E" w14:paraId="4D35301A" w14:textId="77777777" w:rsidTr="003E56E4">
        <w:trPr>
          <w:trHeight w:val="620"/>
        </w:trPr>
        <w:tc>
          <w:tcPr>
            <w:tcW w:w="400" w:type="dxa"/>
            <w:vAlign w:val="center"/>
          </w:tcPr>
          <w:p w14:paraId="006F7D37" w14:textId="77777777" w:rsidR="007D1C85" w:rsidRPr="0037139E" w:rsidRDefault="007D1C85" w:rsidP="003E56E4">
            <w:pPr>
              <w:pStyle w:val="ListParagraph"/>
              <w:ind w:left="0"/>
              <w:jc w:val="center"/>
              <w:rPr>
                <w:rFonts w:ascii="Times New Roman" w:hAnsi="Times New Roman" w:cs="Times New Roman"/>
              </w:rPr>
            </w:pPr>
            <w:r w:rsidRPr="0037139E">
              <w:rPr>
                <w:rFonts w:ascii="Times New Roman" w:hAnsi="Times New Roman" w:cs="Times New Roman"/>
              </w:rPr>
              <w:t>2</w:t>
            </w:r>
          </w:p>
        </w:tc>
        <w:tc>
          <w:tcPr>
            <w:tcW w:w="9230" w:type="dxa"/>
            <w:vAlign w:val="center"/>
          </w:tcPr>
          <w:p w14:paraId="5023519D" w14:textId="39BB5729" w:rsidR="007D1C85" w:rsidRPr="005377AC" w:rsidRDefault="007D1C85" w:rsidP="00D26B12">
            <w:pPr>
              <w:pStyle w:val="ListParagraph"/>
              <w:ind w:left="0"/>
              <w:rPr>
                <w:rFonts w:ascii="Times New Roman" w:hAnsi="Times New Roman" w:cs="Times New Roman"/>
                <w:b/>
                <w:u w:val="single"/>
              </w:rPr>
            </w:pPr>
            <w:r w:rsidRPr="005377AC">
              <w:rPr>
                <w:rFonts w:ascii="Times New Roman" w:hAnsi="Times New Roman" w:cs="Times New Roman"/>
              </w:rPr>
              <w:t>Specific experience</w:t>
            </w:r>
            <w:r w:rsidR="00D26B12">
              <w:rPr>
                <w:rFonts w:ascii="Times New Roman" w:hAnsi="Times New Roman" w:cs="Times New Roman"/>
              </w:rPr>
              <w:t xml:space="preserve"> of the firm</w:t>
            </w:r>
            <w:r w:rsidRPr="005377AC">
              <w:rPr>
                <w:rFonts w:ascii="Times New Roman" w:hAnsi="Times New Roman" w:cs="Times New Roman"/>
              </w:rPr>
              <w:t xml:space="preserve"> rel</w:t>
            </w:r>
            <w:r w:rsidR="00D26B12">
              <w:rPr>
                <w:rFonts w:ascii="Times New Roman" w:hAnsi="Times New Roman" w:cs="Times New Roman"/>
              </w:rPr>
              <w:t>ated</w:t>
            </w:r>
            <w:r w:rsidRPr="005377AC">
              <w:rPr>
                <w:rFonts w:ascii="Times New Roman" w:hAnsi="Times New Roman" w:cs="Times New Roman"/>
              </w:rPr>
              <w:t xml:space="preserve"> to the assignment</w:t>
            </w:r>
          </w:p>
        </w:tc>
        <w:tc>
          <w:tcPr>
            <w:tcW w:w="1350" w:type="dxa"/>
            <w:vAlign w:val="center"/>
          </w:tcPr>
          <w:p w14:paraId="75FEDB6F" w14:textId="56EAEF21" w:rsidR="007D1C85" w:rsidRPr="005377AC" w:rsidRDefault="00905385" w:rsidP="003E56E4">
            <w:pPr>
              <w:pStyle w:val="ListParagraph"/>
              <w:ind w:left="0"/>
              <w:jc w:val="center"/>
              <w:rPr>
                <w:rFonts w:ascii="Times New Roman" w:hAnsi="Times New Roman" w:cs="Times New Roman"/>
                <w:b/>
              </w:rPr>
            </w:pPr>
            <w:r>
              <w:rPr>
                <w:rFonts w:ascii="Times New Roman" w:hAnsi="Times New Roman" w:cs="Times New Roman"/>
                <w:b/>
              </w:rPr>
              <w:t>5</w:t>
            </w:r>
            <w:r w:rsidR="007D1C85" w:rsidRPr="005377AC">
              <w:rPr>
                <w:rFonts w:ascii="Times New Roman" w:hAnsi="Times New Roman" w:cs="Times New Roman"/>
                <w:b/>
              </w:rPr>
              <w:t>0</w:t>
            </w:r>
          </w:p>
        </w:tc>
      </w:tr>
    </w:tbl>
    <w:p w14:paraId="108C0297" w14:textId="4022F99A" w:rsidR="004B18F2" w:rsidRPr="004B18F2" w:rsidRDefault="004B18F2" w:rsidP="004B18F2">
      <w:pPr>
        <w:pStyle w:val="Heading1"/>
        <w:tabs>
          <w:tab w:val="clear" w:pos="-720"/>
        </w:tabs>
        <w:suppressAutoHyphens w:val="0"/>
        <w:spacing w:before="360" w:after="80" w:line="259" w:lineRule="auto"/>
        <w:ind w:left="714" w:hanging="357"/>
        <w:jc w:val="both"/>
        <w:rPr>
          <w:rFonts w:cstheme="majorBidi"/>
          <w:bCs/>
          <w:smallCaps w:val="0"/>
          <w:kern w:val="2"/>
          <w:sz w:val="22"/>
          <w:szCs w:val="40"/>
          <w14:ligatures w14:val="standardContextual"/>
        </w:rPr>
      </w:pPr>
      <w:r>
        <w:rPr>
          <w:rFonts w:cstheme="majorBidi"/>
          <w:bCs/>
          <w:smallCaps w:val="0"/>
          <w:kern w:val="2"/>
          <w:sz w:val="22"/>
          <w:szCs w:val="40"/>
          <w14:ligatures w14:val="standardContextual"/>
        </w:rPr>
        <w:t>Consultant Qualifications:</w:t>
      </w:r>
    </w:p>
    <w:p w14:paraId="664C0C3B" w14:textId="77777777" w:rsidR="004B18F2" w:rsidRDefault="004B18F2" w:rsidP="004B18F2">
      <w:pPr>
        <w:pStyle w:val="Bulit"/>
        <w:rPr>
          <w:rFonts w:eastAsia="Arial Unicode MS" w:cstheme="majorBidi"/>
        </w:rPr>
      </w:pPr>
      <w:r w:rsidRPr="006515F2">
        <w:rPr>
          <w:rFonts w:eastAsia="Arial Unicode MS" w:cstheme="majorBidi"/>
        </w:rPr>
        <w:t>The consulting firm should possess demonstrated experience in legal a</w:t>
      </w:r>
      <w:bookmarkStart w:id="0" w:name="_Hlk202778705"/>
      <w:r w:rsidRPr="006515F2">
        <w:rPr>
          <w:rFonts w:eastAsia="Arial Unicode MS" w:cstheme="majorBidi"/>
        </w:rPr>
        <w:t>nalysis related to digital services, e-government initiatives, and digital identity frameworks</w:t>
      </w:r>
      <w:bookmarkEnd w:id="0"/>
      <w:r>
        <w:rPr>
          <w:rFonts w:eastAsia="Arial Unicode MS" w:cstheme="majorBidi"/>
        </w:rPr>
        <w:t xml:space="preserve">. </w:t>
      </w:r>
    </w:p>
    <w:p w14:paraId="0E7E282D" w14:textId="77777777" w:rsidR="004B18F2" w:rsidRDefault="004B18F2" w:rsidP="004B18F2">
      <w:pPr>
        <w:pStyle w:val="Bulit"/>
        <w:rPr>
          <w:rFonts w:eastAsia="Arial Unicode MS" w:cstheme="majorBidi"/>
        </w:rPr>
      </w:pPr>
      <w:r>
        <w:rPr>
          <w:rFonts w:eastAsia="Arial Unicode MS" w:cstheme="majorBidi"/>
        </w:rPr>
        <w:t>Experience in legal a</w:t>
      </w:r>
      <w:r w:rsidRPr="006515F2">
        <w:rPr>
          <w:rFonts w:eastAsia="Arial Unicode MS" w:cstheme="majorBidi"/>
        </w:rPr>
        <w:t>nalysis related to digital services, e-government initiatives, and digital identity frameworks</w:t>
      </w:r>
      <w:r>
        <w:rPr>
          <w:rFonts w:eastAsia="Arial Unicode MS" w:cstheme="majorBidi"/>
        </w:rPr>
        <w:t xml:space="preserve"> with a</w:t>
      </w:r>
      <w:r w:rsidRPr="006515F2">
        <w:rPr>
          <w:rFonts w:eastAsia="Arial Unicode MS" w:cstheme="majorBidi"/>
        </w:rPr>
        <w:t>lignm</w:t>
      </w:r>
      <w:r>
        <w:rPr>
          <w:rFonts w:eastAsia="Arial Unicode MS" w:cstheme="majorBidi"/>
        </w:rPr>
        <w:t xml:space="preserve">ent </w:t>
      </w:r>
      <w:r w:rsidRPr="006515F2">
        <w:rPr>
          <w:rFonts w:eastAsia="Arial Unicode MS" w:cstheme="majorBidi"/>
        </w:rPr>
        <w:t>with EU standards such as eIDAS2</w:t>
      </w:r>
      <w:r>
        <w:rPr>
          <w:rFonts w:eastAsia="Arial Unicode MS" w:cstheme="majorBidi"/>
        </w:rPr>
        <w:t xml:space="preserve"> is preferable</w:t>
      </w:r>
      <w:r w:rsidRPr="006515F2">
        <w:rPr>
          <w:rFonts w:eastAsia="Arial Unicode MS" w:cstheme="majorBidi"/>
        </w:rPr>
        <w:t xml:space="preserve">. </w:t>
      </w:r>
    </w:p>
    <w:p w14:paraId="18D7F9AD" w14:textId="77777777" w:rsidR="004B18F2" w:rsidRDefault="004B18F2" w:rsidP="004B18F2">
      <w:pPr>
        <w:pStyle w:val="Bulit"/>
        <w:rPr>
          <w:rFonts w:eastAsia="Arial Unicode MS" w:cstheme="majorBidi"/>
        </w:rPr>
      </w:pPr>
      <w:r>
        <w:rPr>
          <w:rFonts w:eastAsia="Arial Unicode MS" w:cstheme="majorBidi"/>
        </w:rPr>
        <w:t>T</w:t>
      </w:r>
      <w:r w:rsidRPr="006515F2">
        <w:rPr>
          <w:rFonts w:eastAsia="Arial Unicode MS" w:cstheme="majorBidi"/>
        </w:rPr>
        <w:t xml:space="preserve">he consulting firm should demonstrate </w:t>
      </w:r>
      <w:r>
        <w:rPr>
          <w:rFonts w:eastAsia="Arial Unicode MS" w:cstheme="majorBidi"/>
        </w:rPr>
        <w:t>experience</w:t>
      </w:r>
      <w:r w:rsidRPr="006515F2">
        <w:rPr>
          <w:rFonts w:eastAsia="Arial Unicode MS" w:cstheme="majorBidi"/>
        </w:rPr>
        <w:t xml:space="preserve"> with international best practices in digital identity, data protection, electronic transactions, and EU regulatory frameworks</w:t>
      </w:r>
    </w:p>
    <w:p w14:paraId="30922596" w14:textId="77777777" w:rsidR="004B18F2" w:rsidRPr="00C97E74" w:rsidRDefault="004B18F2" w:rsidP="004B18F2">
      <w:pPr>
        <w:pStyle w:val="Bulit"/>
        <w:rPr>
          <w:rFonts w:eastAsia="Arial Unicode MS" w:cstheme="majorBidi"/>
        </w:rPr>
      </w:pPr>
      <w:r>
        <w:rPr>
          <w:rFonts w:eastAsia="Arial Unicode MS" w:cstheme="majorBidi"/>
        </w:rPr>
        <w:t>The consulting firm should demonstrate</w:t>
      </w:r>
      <w:r w:rsidRPr="006515F2">
        <w:rPr>
          <w:rFonts w:eastAsia="Arial Unicode MS" w:cstheme="majorBidi"/>
        </w:rPr>
        <w:t xml:space="preserve"> experience </w:t>
      </w:r>
      <w:r>
        <w:rPr>
          <w:rFonts w:eastAsia="Arial Unicode MS" w:cstheme="majorBidi"/>
        </w:rPr>
        <w:t xml:space="preserve">in </w:t>
      </w:r>
      <w:r w:rsidRPr="006515F2">
        <w:rPr>
          <w:rFonts w:eastAsia="Arial Unicode MS" w:cstheme="majorBidi"/>
        </w:rPr>
        <w:t>working closely with government agencies and public sector stakeholders.</w:t>
      </w:r>
    </w:p>
    <w:p w14:paraId="71B8A6C2" w14:textId="18CE6D47" w:rsidR="004B18F2" w:rsidRDefault="004B18F2" w:rsidP="004B18F2">
      <w:pPr>
        <w:pStyle w:val="Bulit"/>
        <w:rPr>
          <w:rFonts w:eastAsia="Arial Unicode MS" w:cstheme="majorBidi"/>
        </w:rPr>
      </w:pPr>
      <w:proofErr w:type="gramStart"/>
      <w:r w:rsidRPr="00C97E74">
        <w:rPr>
          <w:rFonts w:eastAsia="Arial Unicode MS" w:cstheme="majorBidi"/>
        </w:rPr>
        <w:t>Experience with projects funded by or implemented in partnership with</w:t>
      </w:r>
      <w:r>
        <w:rPr>
          <w:rFonts w:eastAsia="Arial Unicode MS" w:cstheme="majorBidi"/>
        </w:rPr>
        <w:t xml:space="preserve"> international donors</w:t>
      </w:r>
      <w:r w:rsidRPr="00C97E74">
        <w:rPr>
          <w:rFonts w:eastAsia="Arial Unicode MS" w:cstheme="majorBidi"/>
        </w:rPr>
        <w:t xml:space="preserve"> </w:t>
      </w:r>
      <w:r>
        <w:rPr>
          <w:rFonts w:eastAsia="Arial Unicode MS" w:cstheme="majorBidi"/>
        </w:rPr>
        <w:t xml:space="preserve">(i.e. </w:t>
      </w:r>
      <w:r w:rsidRPr="00C97E74">
        <w:rPr>
          <w:rFonts w:eastAsia="Arial Unicode MS" w:cstheme="majorBidi"/>
        </w:rPr>
        <w:t>the World Bank</w:t>
      </w:r>
      <w:r>
        <w:rPr>
          <w:rFonts w:eastAsia="Arial Unicode MS" w:cstheme="majorBidi"/>
        </w:rPr>
        <w:t>)</w:t>
      </w:r>
      <w:proofErr w:type="gramEnd"/>
      <w:r w:rsidRPr="00C97E74">
        <w:rPr>
          <w:rFonts w:eastAsia="Arial Unicode MS" w:cstheme="majorBidi"/>
        </w:rPr>
        <w:t xml:space="preserve">, </w:t>
      </w:r>
      <w:proofErr w:type="gramStart"/>
      <w:r w:rsidRPr="00C97E74">
        <w:rPr>
          <w:rFonts w:eastAsia="Arial Unicode MS" w:cstheme="majorBidi"/>
        </w:rPr>
        <w:t>will be highly advantageous</w:t>
      </w:r>
      <w:proofErr w:type="gramEnd"/>
      <w:r>
        <w:rPr>
          <w:rFonts w:eastAsia="Arial Unicode MS" w:cstheme="majorBidi"/>
        </w:rPr>
        <w:t>.</w:t>
      </w:r>
      <w:r w:rsidRPr="00C97E74">
        <w:rPr>
          <w:rFonts w:eastAsia="Arial Unicode MS" w:cstheme="majorBidi"/>
        </w:rPr>
        <w:t xml:space="preserve"> </w:t>
      </w:r>
    </w:p>
    <w:p w14:paraId="7EC95257" w14:textId="356CE021" w:rsidR="007A40C5" w:rsidRPr="004B18F2" w:rsidRDefault="004B18F2" w:rsidP="004B18F2">
      <w:pPr>
        <w:pStyle w:val="Bulit"/>
        <w:rPr>
          <w:rFonts w:eastAsia="Arial Unicode MS" w:cstheme="majorBidi"/>
        </w:rPr>
      </w:pPr>
      <w:r w:rsidRPr="004B18F2">
        <w:rPr>
          <w:rFonts w:eastAsia="Arial Unicode MS" w:cstheme="majorBidi"/>
        </w:rPr>
        <w:t>Experience with digital transformation projects in high-income countries is preferable</w:t>
      </w:r>
      <w:r w:rsidR="00993F6C" w:rsidRPr="004B18F2">
        <w:rPr>
          <w:spacing w:val="-2"/>
          <w:szCs w:val="22"/>
        </w:rPr>
        <w:t>.</w:t>
      </w:r>
    </w:p>
    <w:p w14:paraId="502B4F14" w14:textId="720EA34F" w:rsidR="00DC1D70" w:rsidRPr="00ED3305" w:rsidRDefault="00DC1D70" w:rsidP="00DC1D70">
      <w:pPr>
        <w:suppressAutoHyphens/>
        <w:jc w:val="both"/>
        <w:rPr>
          <w:rFonts w:ascii="Times New Roman" w:hAnsi="Times New Roman"/>
          <w:spacing w:val="-2"/>
          <w:szCs w:val="22"/>
        </w:rPr>
      </w:pPr>
      <w:r w:rsidRPr="00ED3305">
        <w:rPr>
          <w:rFonts w:ascii="Times New Roman" w:hAnsi="Times New Roman"/>
          <w:spacing w:val="-2"/>
          <w:szCs w:val="22"/>
        </w:rPr>
        <w:t xml:space="preserve">The attention of interested Consultants is drawn to paragraphs 3.14, 3.16 and 3.17 of the </w:t>
      </w:r>
      <w:r w:rsidRPr="00ED3305">
        <w:rPr>
          <w:rFonts w:ascii="Times New Roman" w:hAnsi="Times New Roman"/>
          <w:b/>
          <w:i/>
          <w:spacing w:val="-2"/>
          <w:szCs w:val="22"/>
        </w:rPr>
        <w:t xml:space="preserve">World Bank’s Procurement Regulations for IPF Borrowers – Procurement in Investment Project Financing Goods, </w:t>
      </w:r>
      <w:r w:rsidR="00965E53">
        <w:rPr>
          <w:rFonts w:ascii="Times New Roman" w:hAnsi="Times New Roman"/>
          <w:b/>
          <w:i/>
          <w:spacing w:val="-2"/>
          <w:szCs w:val="22"/>
        </w:rPr>
        <w:t>Works</w:t>
      </w:r>
      <w:r w:rsidRPr="00ED3305">
        <w:rPr>
          <w:rFonts w:ascii="Times New Roman" w:hAnsi="Times New Roman"/>
          <w:b/>
          <w:i/>
          <w:spacing w:val="-2"/>
          <w:szCs w:val="22"/>
        </w:rPr>
        <w:t>, Non-Consulting and Consulting Services (July 2016, revised November 2017 and August 2018)</w:t>
      </w:r>
      <w:r w:rsidRPr="00ED3305">
        <w:rPr>
          <w:rFonts w:ascii="Times New Roman" w:hAnsi="Times New Roman"/>
          <w:spacing w:val="-2"/>
          <w:szCs w:val="22"/>
        </w:rPr>
        <w:t xml:space="preserve"> (“the Regulations”) setting forth the World Bank’s policy on conflict of interest.  </w:t>
      </w:r>
    </w:p>
    <w:p w14:paraId="2885825E" w14:textId="77777777" w:rsidR="005D5E33" w:rsidRPr="00ED3305" w:rsidRDefault="005D5E33" w:rsidP="00E25788">
      <w:pPr>
        <w:suppressAutoHyphens/>
        <w:jc w:val="both"/>
        <w:rPr>
          <w:rFonts w:ascii="Times New Roman" w:hAnsi="Times New Roman"/>
          <w:spacing w:val="-2"/>
          <w:szCs w:val="22"/>
        </w:rPr>
      </w:pPr>
    </w:p>
    <w:p w14:paraId="24E70A4B" w14:textId="201D0F06" w:rsidR="00F17486" w:rsidRPr="00ED3305" w:rsidRDefault="00930962" w:rsidP="00E25788">
      <w:pPr>
        <w:suppressAutoHyphens/>
        <w:jc w:val="both"/>
        <w:rPr>
          <w:rFonts w:ascii="Times New Roman" w:hAnsi="Times New Roman"/>
          <w:spacing w:val="-2"/>
          <w:szCs w:val="22"/>
        </w:rPr>
      </w:pPr>
      <w:r w:rsidRPr="00ED3305">
        <w:rPr>
          <w:rFonts w:ascii="Times New Roman" w:hAnsi="Times New Roman"/>
          <w:spacing w:val="-2"/>
          <w:szCs w:val="22"/>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009830E4" w:rsidRPr="00ED3305">
        <w:rPr>
          <w:rFonts w:ascii="Times New Roman" w:hAnsi="Times New Roman"/>
          <w:spacing w:val="-2"/>
          <w:szCs w:val="22"/>
        </w:rPr>
        <w:t>.</w:t>
      </w:r>
      <w:r w:rsidR="008102FA" w:rsidRPr="008102FA">
        <w:t xml:space="preserve"> </w:t>
      </w:r>
      <w:r w:rsidR="008102FA">
        <w:rPr>
          <w:rFonts w:ascii="Times New Roman" w:hAnsi="Times New Roman"/>
          <w:spacing w:val="-2"/>
          <w:szCs w:val="22"/>
        </w:rPr>
        <w:t>Consultant shall submit reference list indicating name and description of the contract, name of the client and its representative including his/her email.</w:t>
      </w:r>
    </w:p>
    <w:p w14:paraId="4E82B749" w14:textId="77777777" w:rsidR="00F17486" w:rsidRPr="00ED3305" w:rsidRDefault="00F17486" w:rsidP="00E25788">
      <w:pPr>
        <w:suppressAutoHyphens/>
        <w:jc w:val="both"/>
        <w:rPr>
          <w:rFonts w:ascii="Times New Roman" w:hAnsi="Times New Roman"/>
          <w:spacing w:val="-2"/>
          <w:szCs w:val="22"/>
        </w:rPr>
      </w:pPr>
    </w:p>
    <w:p w14:paraId="07BE55C6" w14:textId="77777777" w:rsidR="00103B46" w:rsidRPr="00ED3305" w:rsidRDefault="0089380F" w:rsidP="00E25788">
      <w:pPr>
        <w:suppressAutoHyphens/>
        <w:jc w:val="both"/>
        <w:rPr>
          <w:rFonts w:ascii="Times New Roman" w:hAnsi="Times New Roman"/>
          <w:szCs w:val="22"/>
        </w:rPr>
      </w:pPr>
      <w:r w:rsidRPr="00ED3305">
        <w:rPr>
          <w:rFonts w:ascii="Times New Roman" w:hAnsi="Times New Roman"/>
          <w:szCs w:val="22"/>
        </w:rPr>
        <w:t>A</w:t>
      </w:r>
      <w:r w:rsidR="00103B46" w:rsidRPr="00ED3305">
        <w:rPr>
          <w:rFonts w:ascii="Times New Roman" w:hAnsi="Times New Roman"/>
          <w:szCs w:val="22"/>
        </w:rPr>
        <w:t xml:space="preserve"> Consultant will be selected in accordance with </w:t>
      </w:r>
      <w:r w:rsidRPr="00ED3305">
        <w:rPr>
          <w:rFonts w:ascii="Times New Roman" w:hAnsi="Times New Roman"/>
          <w:szCs w:val="22"/>
        </w:rPr>
        <w:t xml:space="preserve">the </w:t>
      </w:r>
      <w:r w:rsidR="00983A8E" w:rsidRPr="00ED3305">
        <w:rPr>
          <w:rFonts w:ascii="Times New Roman" w:hAnsi="Times New Roman"/>
          <w:i/>
          <w:szCs w:val="22"/>
        </w:rPr>
        <w:t xml:space="preserve">Consultant’s qualifications based selection </w:t>
      </w:r>
      <w:r w:rsidRPr="00ED3305">
        <w:rPr>
          <w:rFonts w:ascii="Times New Roman" w:hAnsi="Times New Roman"/>
          <w:i/>
          <w:szCs w:val="22"/>
        </w:rPr>
        <w:t>(CQS)</w:t>
      </w:r>
      <w:r w:rsidRPr="00ED3305">
        <w:rPr>
          <w:rFonts w:ascii="Times New Roman" w:hAnsi="Times New Roman"/>
          <w:szCs w:val="22"/>
        </w:rPr>
        <w:t xml:space="preserve"> </w:t>
      </w:r>
      <w:r w:rsidR="00103B46" w:rsidRPr="00ED3305">
        <w:rPr>
          <w:rFonts w:ascii="Times New Roman" w:hAnsi="Times New Roman"/>
          <w:szCs w:val="22"/>
        </w:rPr>
        <w:t xml:space="preserve">method </w:t>
      </w:r>
      <w:r w:rsidRPr="00ED3305">
        <w:rPr>
          <w:rFonts w:ascii="Times New Roman" w:hAnsi="Times New Roman"/>
          <w:szCs w:val="22"/>
        </w:rPr>
        <w:t xml:space="preserve">as </w:t>
      </w:r>
      <w:r w:rsidR="00103B46" w:rsidRPr="00ED3305">
        <w:rPr>
          <w:rFonts w:ascii="Times New Roman" w:hAnsi="Times New Roman"/>
          <w:szCs w:val="22"/>
        </w:rPr>
        <w:t xml:space="preserve">set out in the </w:t>
      </w:r>
      <w:r w:rsidR="00983A8E" w:rsidRPr="00ED3305">
        <w:rPr>
          <w:rFonts w:ascii="Times New Roman" w:hAnsi="Times New Roman"/>
          <w:szCs w:val="22"/>
        </w:rPr>
        <w:t>Regulations</w:t>
      </w:r>
      <w:r w:rsidR="00103B46" w:rsidRPr="00ED3305">
        <w:rPr>
          <w:rFonts w:ascii="Times New Roman" w:hAnsi="Times New Roman"/>
          <w:szCs w:val="22"/>
        </w:rPr>
        <w:t>.</w:t>
      </w:r>
    </w:p>
    <w:p w14:paraId="2BED2FC6" w14:textId="77777777" w:rsidR="00916E24" w:rsidRPr="00ED3305" w:rsidRDefault="00916E24" w:rsidP="00E25788">
      <w:pPr>
        <w:suppressAutoHyphens/>
        <w:jc w:val="both"/>
        <w:rPr>
          <w:rFonts w:ascii="Times New Roman" w:hAnsi="Times New Roman"/>
          <w:spacing w:val="-2"/>
          <w:szCs w:val="22"/>
        </w:rPr>
      </w:pPr>
    </w:p>
    <w:p w14:paraId="454E842A" w14:textId="77777777" w:rsidR="009830E4" w:rsidRPr="00ED3305" w:rsidRDefault="00916E24" w:rsidP="00E25788">
      <w:pPr>
        <w:suppressAutoHyphens/>
        <w:jc w:val="both"/>
        <w:rPr>
          <w:rFonts w:ascii="Times New Roman" w:hAnsi="Times New Roman"/>
          <w:spacing w:val="-2"/>
          <w:szCs w:val="22"/>
        </w:rPr>
      </w:pPr>
      <w:r w:rsidRPr="00ED3305">
        <w:rPr>
          <w:rFonts w:ascii="Times New Roman" w:hAnsi="Times New Roman"/>
          <w:spacing w:val="-2"/>
          <w:szCs w:val="22"/>
        </w:rPr>
        <w:t>F</w:t>
      </w:r>
      <w:r w:rsidR="009830E4" w:rsidRPr="00ED3305">
        <w:rPr>
          <w:rFonts w:ascii="Times New Roman" w:hAnsi="Times New Roman"/>
          <w:spacing w:val="-2"/>
          <w:szCs w:val="22"/>
        </w:rPr>
        <w:t xml:space="preserve">urther information </w:t>
      </w:r>
      <w:r w:rsidRPr="00ED3305">
        <w:rPr>
          <w:rFonts w:ascii="Times New Roman" w:hAnsi="Times New Roman"/>
          <w:spacing w:val="-2"/>
          <w:szCs w:val="22"/>
        </w:rPr>
        <w:t xml:space="preserve">can be obtained </w:t>
      </w:r>
      <w:r w:rsidR="00822D7D" w:rsidRPr="00ED3305">
        <w:rPr>
          <w:rFonts w:ascii="Times New Roman" w:hAnsi="Times New Roman"/>
          <w:spacing w:val="-2"/>
          <w:szCs w:val="22"/>
        </w:rPr>
        <w:t xml:space="preserve">from the CFU </w:t>
      </w:r>
      <w:r w:rsidR="009830E4" w:rsidRPr="00ED3305">
        <w:rPr>
          <w:rFonts w:ascii="Times New Roman" w:hAnsi="Times New Roman"/>
          <w:spacing w:val="-2"/>
          <w:szCs w:val="22"/>
        </w:rPr>
        <w:t xml:space="preserve">at the address below </w:t>
      </w:r>
      <w:r w:rsidR="00103B46" w:rsidRPr="00ED3305">
        <w:rPr>
          <w:rFonts w:ascii="Times New Roman" w:hAnsi="Times New Roman"/>
          <w:spacing w:val="-2"/>
          <w:szCs w:val="22"/>
        </w:rPr>
        <w:t xml:space="preserve">from </w:t>
      </w:r>
      <w:r w:rsidR="00A94A9A" w:rsidRPr="00ED3305">
        <w:rPr>
          <w:rFonts w:ascii="Times New Roman" w:hAnsi="Times New Roman"/>
          <w:spacing w:val="-2"/>
          <w:szCs w:val="22"/>
        </w:rPr>
        <w:t>0</w:t>
      </w:r>
      <w:r w:rsidR="003F27EA" w:rsidRPr="00ED3305">
        <w:rPr>
          <w:rFonts w:ascii="Times New Roman" w:hAnsi="Times New Roman"/>
          <w:spacing w:val="-2"/>
          <w:szCs w:val="22"/>
        </w:rPr>
        <w:t>9:</w:t>
      </w:r>
      <w:r w:rsidR="009830E4" w:rsidRPr="00ED3305">
        <w:rPr>
          <w:rFonts w:ascii="Times New Roman" w:hAnsi="Times New Roman"/>
          <w:spacing w:val="-2"/>
          <w:szCs w:val="22"/>
        </w:rPr>
        <w:t>00 to 1</w:t>
      </w:r>
      <w:r w:rsidR="00103B46" w:rsidRPr="00ED3305">
        <w:rPr>
          <w:rFonts w:ascii="Times New Roman" w:hAnsi="Times New Roman"/>
          <w:spacing w:val="-2"/>
          <w:szCs w:val="22"/>
        </w:rPr>
        <w:t>5</w:t>
      </w:r>
      <w:r w:rsidR="003F27EA" w:rsidRPr="00ED3305">
        <w:rPr>
          <w:rFonts w:ascii="Times New Roman" w:hAnsi="Times New Roman"/>
          <w:spacing w:val="-2"/>
          <w:szCs w:val="22"/>
        </w:rPr>
        <w:t>:</w:t>
      </w:r>
      <w:r w:rsidR="009830E4" w:rsidRPr="00ED3305">
        <w:rPr>
          <w:rFonts w:ascii="Times New Roman" w:hAnsi="Times New Roman"/>
          <w:spacing w:val="-2"/>
          <w:szCs w:val="22"/>
        </w:rPr>
        <w:t>00 hours.</w:t>
      </w:r>
    </w:p>
    <w:p w14:paraId="703112CD" w14:textId="77777777" w:rsidR="009830E4" w:rsidRPr="0037139E" w:rsidRDefault="009830E4" w:rsidP="00E25788">
      <w:pPr>
        <w:suppressAutoHyphens/>
        <w:jc w:val="both"/>
        <w:rPr>
          <w:rFonts w:ascii="Times New Roman" w:hAnsi="Times New Roman"/>
          <w:spacing w:val="-2"/>
          <w:szCs w:val="22"/>
        </w:rPr>
      </w:pPr>
    </w:p>
    <w:p w14:paraId="25AB309F" w14:textId="05018B4C" w:rsidR="003F27EA" w:rsidRPr="003743B1" w:rsidRDefault="003F27EA" w:rsidP="003F27EA">
      <w:pPr>
        <w:jc w:val="both"/>
        <w:rPr>
          <w:rFonts w:ascii="Times New Roman" w:hAnsi="Times New Roman"/>
          <w:szCs w:val="22"/>
        </w:rPr>
      </w:pPr>
      <w:r w:rsidRPr="003743B1">
        <w:rPr>
          <w:rFonts w:ascii="Times New Roman" w:hAnsi="Times New Roman"/>
          <w:spacing w:val="-2"/>
          <w:szCs w:val="22"/>
        </w:rPr>
        <w:t xml:space="preserve">Expressions of interest in English language must be sent in a written form to the </w:t>
      </w:r>
      <w:r w:rsidRPr="003743B1">
        <w:rPr>
          <w:rFonts w:ascii="Times New Roman" w:hAnsi="Times New Roman"/>
          <w:b/>
          <w:spacing w:val="-2"/>
          <w:szCs w:val="22"/>
        </w:rPr>
        <w:t>E-mail</w:t>
      </w:r>
      <w:r w:rsidRPr="003743B1">
        <w:rPr>
          <w:rFonts w:ascii="Times New Roman" w:hAnsi="Times New Roman"/>
          <w:spacing w:val="-2"/>
          <w:szCs w:val="22"/>
        </w:rPr>
        <w:t xml:space="preserve"> address below, by </w:t>
      </w:r>
      <w:r w:rsidR="00993F6C">
        <w:rPr>
          <w:rFonts w:ascii="Times New Roman" w:hAnsi="Times New Roman"/>
          <w:b/>
          <w:spacing w:val="-2"/>
          <w:szCs w:val="22"/>
        </w:rPr>
        <w:t xml:space="preserve">September </w:t>
      </w:r>
      <w:r w:rsidR="001A30CA">
        <w:rPr>
          <w:rFonts w:ascii="Times New Roman" w:hAnsi="Times New Roman"/>
          <w:b/>
          <w:spacing w:val="-2"/>
          <w:szCs w:val="22"/>
        </w:rPr>
        <w:t>08</w:t>
      </w:r>
      <w:bookmarkStart w:id="1" w:name="_GoBack"/>
      <w:bookmarkEnd w:id="1"/>
      <w:r w:rsidR="00993F6C">
        <w:rPr>
          <w:rFonts w:ascii="Times New Roman" w:hAnsi="Times New Roman"/>
          <w:b/>
          <w:spacing w:val="-2"/>
          <w:szCs w:val="22"/>
        </w:rPr>
        <w:t>, 2025</w:t>
      </w:r>
      <w:r w:rsidRPr="003743B1">
        <w:rPr>
          <w:rFonts w:ascii="Times New Roman" w:hAnsi="Times New Roman"/>
          <w:b/>
          <w:spacing w:val="-2"/>
          <w:szCs w:val="22"/>
        </w:rPr>
        <w:t>, 12:00 hours, noon</w:t>
      </w:r>
      <w:r w:rsidRPr="003743B1">
        <w:rPr>
          <w:rFonts w:ascii="Times New Roman" w:hAnsi="Times New Roman"/>
          <w:spacing w:val="-2"/>
          <w:szCs w:val="22"/>
        </w:rPr>
        <w:t xml:space="preserve">, </w:t>
      </w:r>
      <w:proofErr w:type="gramStart"/>
      <w:r w:rsidRPr="003743B1">
        <w:rPr>
          <w:rFonts w:ascii="Times New Roman" w:hAnsi="Times New Roman"/>
          <w:spacing w:val="-2"/>
          <w:szCs w:val="22"/>
        </w:rPr>
        <w:t>local</w:t>
      </w:r>
      <w:proofErr w:type="gramEnd"/>
      <w:r w:rsidRPr="003743B1">
        <w:rPr>
          <w:rFonts w:ascii="Times New Roman" w:hAnsi="Times New Roman"/>
          <w:spacing w:val="-2"/>
          <w:szCs w:val="22"/>
        </w:rPr>
        <w:t xml:space="preserve"> time.</w:t>
      </w:r>
      <w:r w:rsidRPr="003743B1">
        <w:rPr>
          <w:rFonts w:ascii="Times New Roman" w:hAnsi="Times New Roman"/>
          <w:szCs w:val="22"/>
        </w:rPr>
        <w:t xml:space="preserve"> </w:t>
      </w:r>
    </w:p>
    <w:p w14:paraId="3374F7D7" w14:textId="77777777" w:rsidR="003F27EA" w:rsidRDefault="003F27EA" w:rsidP="003F27EA">
      <w:pPr>
        <w:suppressAutoHyphens/>
        <w:rPr>
          <w:rFonts w:ascii="Times New Roman" w:hAnsi="Times New Roman"/>
          <w:spacing w:val="-2"/>
          <w:sz w:val="24"/>
        </w:rPr>
      </w:pPr>
    </w:p>
    <w:p w14:paraId="2954AFCD" w14:textId="77777777" w:rsidR="003F27EA" w:rsidRPr="00E62241" w:rsidRDefault="003F27EA" w:rsidP="003F27EA">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870"/>
        <w:gridCol w:w="4042"/>
      </w:tblGrid>
      <w:tr w:rsidR="003F27EA" w:rsidRPr="003743B1" w14:paraId="31DDBBCE" w14:textId="77777777" w:rsidTr="00323ED9">
        <w:tc>
          <w:tcPr>
            <w:tcW w:w="1088" w:type="dxa"/>
            <w:shd w:val="clear" w:color="auto" w:fill="auto"/>
            <w:vAlign w:val="center"/>
          </w:tcPr>
          <w:p w14:paraId="30E903E5" w14:textId="77777777" w:rsidR="003F27EA" w:rsidRPr="003743B1" w:rsidRDefault="003F27EA" w:rsidP="00323ED9">
            <w:pPr>
              <w:spacing w:after="75" w:line="360" w:lineRule="atLeast"/>
              <w:rPr>
                <w:rFonts w:ascii="Times New Roman" w:hAnsi="Times New Roman"/>
                <w:b/>
                <w:spacing w:val="-2"/>
                <w:szCs w:val="22"/>
              </w:rPr>
            </w:pPr>
            <w:r w:rsidRPr="003743B1">
              <w:rPr>
                <w:rFonts w:ascii="Times New Roman" w:hAnsi="Times New Roman"/>
                <w:b/>
                <w:spacing w:val="-2"/>
                <w:szCs w:val="22"/>
              </w:rPr>
              <w:t>Contact:</w:t>
            </w:r>
          </w:p>
        </w:tc>
        <w:tc>
          <w:tcPr>
            <w:tcW w:w="3870" w:type="dxa"/>
            <w:shd w:val="clear" w:color="auto" w:fill="auto"/>
            <w:vAlign w:val="center"/>
          </w:tcPr>
          <w:p w14:paraId="76473969" w14:textId="77777777" w:rsidR="003F27EA" w:rsidRPr="003743B1" w:rsidRDefault="003F27EA" w:rsidP="00323ED9">
            <w:pPr>
              <w:spacing w:after="75" w:line="360" w:lineRule="atLeast"/>
              <w:rPr>
                <w:rFonts w:ascii="Times New Roman" w:hAnsi="Times New Roman"/>
                <w:b/>
                <w:spacing w:val="-2"/>
                <w:szCs w:val="22"/>
              </w:rPr>
            </w:pPr>
            <w:r w:rsidRPr="003743B1">
              <w:rPr>
                <w:rFonts w:ascii="Times New Roman" w:hAnsi="Times New Roman"/>
                <w:b/>
                <w:spacing w:val="-2"/>
                <w:szCs w:val="22"/>
              </w:rPr>
              <w:t>E–mail:</w:t>
            </w:r>
          </w:p>
        </w:tc>
        <w:tc>
          <w:tcPr>
            <w:tcW w:w="4042" w:type="dxa"/>
            <w:shd w:val="clear" w:color="auto" w:fill="auto"/>
            <w:vAlign w:val="center"/>
          </w:tcPr>
          <w:p w14:paraId="25726D74" w14:textId="77777777" w:rsidR="003F27EA" w:rsidRPr="003743B1" w:rsidRDefault="003F27EA" w:rsidP="00323ED9">
            <w:pPr>
              <w:spacing w:after="75" w:line="360" w:lineRule="atLeast"/>
              <w:rPr>
                <w:rFonts w:ascii="Times New Roman" w:hAnsi="Times New Roman"/>
                <w:b/>
                <w:spacing w:val="-2"/>
                <w:szCs w:val="22"/>
              </w:rPr>
            </w:pPr>
            <w:r w:rsidRPr="003743B1">
              <w:rPr>
                <w:rFonts w:ascii="Times New Roman" w:hAnsi="Times New Roman"/>
                <w:b/>
                <w:spacing w:val="-2"/>
                <w:szCs w:val="22"/>
              </w:rPr>
              <w:t>Address:</w:t>
            </w:r>
          </w:p>
        </w:tc>
      </w:tr>
      <w:tr w:rsidR="003F27EA" w:rsidRPr="003743B1" w14:paraId="506D14DF" w14:textId="77777777" w:rsidTr="00323ED9">
        <w:trPr>
          <w:trHeight w:val="1248"/>
        </w:trPr>
        <w:tc>
          <w:tcPr>
            <w:tcW w:w="1088" w:type="dxa"/>
            <w:shd w:val="clear" w:color="auto" w:fill="auto"/>
          </w:tcPr>
          <w:p w14:paraId="227A9E50" w14:textId="77777777" w:rsidR="003F27EA" w:rsidRPr="003743B1" w:rsidRDefault="003F27EA" w:rsidP="00323ED9">
            <w:pPr>
              <w:spacing w:after="75" w:line="360" w:lineRule="atLeast"/>
              <w:rPr>
                <w:rFonts w:ascii="Arial" w:hAnsi="Arial" w:cs="Arial"/>
                <w:color w:val="555556"/>
                <w:szCs w:val="22"/>
              </w:rPr>
            </w:pPr>
            <w:r w:rsidRPr="003743B1">
              <w:rPr>
                <w:rFonts w:ascii="Times New Roman" w:hAnsi="Times New Roman"/>
                <w:spacing w:val="-2"/>
                <w:szCs w:val="22"/>
              </w:rPr>
              <w:t>To:</w:t>
            </w:r>
          </w:p>
        </w:tc>
        <w:tc>
          <w:tcPr>
            <w:tcW w:w="3870" w:type="dxa"/>
            <w:shd w:val="clear" w:color="auto" w:fill="auto"/>
          </w:tcPr>
          <w:p w14:paraId="551819AF" w14:textId="77777777" w:rsidR="003F27EA" w:rsidRPr="003743B1" w:rsidRDefault="004A5E03" w:rsidP="00323ED9">
            <w:pPr>
              <w:spacing w:line="360" w:lineRule="atLeast"/>
              <w:rPr>
                <w:rFonts w:ascii="Times New Roman" w:hAnsi="Times New Roman"/>
                <w:spacing w:val="-2"/>
                <w:szCs w:val="22"/>
              </w:rPr>
            </w:pPr>
            <w:hyperlink r:id="rId9" w:history="1">
              <w:r w:rsidR="003F27EA" w:rsidRPr="003743B1">
                <w:rPr>
                  <w:rStyle w:val="Hyperlink"/>
                  <w:rFonts w:ascii="Times New Roman" w:hAnsi="Times New Roman"/>
                  <w:szCs w:val="22"/>
                </w:rPr>
                <w:t>ljiljana.krejovic@mfin.gov.rs</w:t>
              </w:r>
            </w:hyperlink>
          </w:p>
          <w:p w14:paraId="189E3860" w14:textId="77777777" w:rsidR="003F27EA" w:rsidRPr="003743B1" w:rsidRDefault="003F27EA" w:rsidP="00323ED9">
            <w:pPr>
              <w:spacing w:after="75" w:line="360" w:lineRule="atLeast"/>
              <w:rPr>
                <w:rFonts w:ascii="Times New Roman" w:hAnsi="Times New Roman"/>
                <w:spacing w:val="-2"/>
                <w:szCs w:val="22"/>
              </w:rPr>
            </w:pPr>
            <w:proofErr w:type="spellStart"/>
            <w:r w:rsidRPr="003743B1">
              <w:rPr>
                <w:rFonts w:ascii="Times New Roman" w:hAnsi="Times New Roman"/>
                <w:spacing w:val="-2"/>
                <w:szCs w:val="22"/>
              </w:rPr>
              <w:t>Ms</w:t>
            </w:r>
            <w:proofErr w:type="spellEnd"/>
            <w:r w:rsidRPr="003743B1">
              <w:rPr>
                <w:rFonts w:ascii="Times New Roman" w:hAnsi="Times New Roman"/>
                <w:spacing w:val="-2"/>
                <w:szCs w:val="22"/>
              </w:rPr>
              <w:t xml:space="preserve"> Ljiljana </w:t>
            </w:r>
            <w:proofErr w:type="spellStart"/>
            <w:r w:rsidRPr="003743B1">
              <w:rPr>
                <w:rFonts w:ascii="Times New Roman" w:hAnsi="Times New Roman"/>
                <w:spacing w:val="-2"/>
                <w:szCs w:val="22"/>
              </w:rPr>
              <w:t>Krejovic</w:t>
            </w:r>
            <w:proofErr w:type="spellEnd"/>
          </w:p>
          <w:p w14:paraId="08E580A3" w14:textId="77777777" w:rsidR="003F27EA" w:rsidRPr="003743B1" w:rsidRDefault="003F27EA" w:rsidP="00323ED9">
            <w:pPr>
              <w:spacing w:after="75" w:line="360" w:lineRule="atLeast"/>
              <w:rPr>
                <w:rFonts w:ascii="Times New Roman" w:hAnsi="Times New Roman"/>
                <w:spacing w:val="-2"/>
                <w:szCs w:val="22"/>
              </w:rPr>
            </w:pPr>
            <w:r w:rsidRPr="003743B1">
              <w:rPr>
                <w:rFonts w:ascii="Times New Roman" w:hAnsi="Times New Roman"/>
                <w:spacing w:val="-2"/>
                <w:szCs w:val="22"/>
              </w:rPr>
              <w:t>Procurement Specialist</w:t>
            </w:r>
          </w:p>
        </w:tc>
        <w:tc>
          <w:tcPr>
            <w:tcW w:w="4042" w:type="dxa"/>
            <w:vMerge w:val="restart"/>
            <w:shd w:val="clear" w:color="auto" w:fill="auto"/>
          </w:tcPr>
          <w:p w14:paraId="6784A4CF" w14:textId="77777777" w:rsidR="003F27EA" w:rsidRPr="003743B1" w:rsidRDefault="003F27EA" w:rsidP="00323ED9">
            <w:pPr>
              <w:spacing w:before="120"/>
              <w:rPr>
                <w:rFonts w:ascii="Times New Roman" w:hAnsi="Times New Roman"/>
                <w:spacing w:val="-2"/>
                <w:szCs w:val="22"/>
              </w:rPr>
            </w:pPr>
            <w:r w:rsidRPr="003743B1">
              <w:rPr>
                <w:rFonts w:ascii="Times New Roman" w:hAnsi="Times New Roman"/>
                <w:spacing w:val="-2"/>
                <w:szCs w:val="22"/>
              </w:rPr>
              <w:t>Ministry of Finance</w:t>
            </w:r>
          </w:p>
          <w:p w14:paraId="66B390DC" w14:textId="77777777" w:rsidR="003F27EA" w:rsidRPr="003743B1" w:rsidRDefault="003F27EA" w:rsidP="00323ED9">
            <w:pPr>
              <w:spacing w:before="120"/>
              <w:rPr>
                <w:rFonts w:ascii="Times New Roman" w:hAnsi="Times New Roman"/>
                <w:spacing w:val="-2"/>
                <w:szCs w:val="22"/>
              </w:rPr>
            </w:pPr>
            <w:r w:rsidRPr="003743B1">
              <w:rPr>
                <w:rFonts w:ascii="Times New Roman" w:hAnsi="Times New Roman"/>
                <w:spacing w:val="-2"/>
                <w:szCs w:val="22"/>
              </w:rPr>
              <w:t>Central Fiduciary Unit</w:t>
            </w:r>
          </w:p>
          <w:p w14:paraId="11C924D6" w14:textId="5268D06A" w:rsidR="003F27EA" w:rsidRPr="003743B1" w:rsidRDefault="00993F6C" w:rsidP="00323ED9">
            <w:pPr>
              <w:spacing w:before="120"/>
              <w:rPr>
                <w:rFonts w:ascii="Times New Roman" w:hAnsi="Times New Roman"/>
                <w:spacing w:val="-2"/>
                <w:szCs w:val="22"/>
              </w:rPr>
            </w:pPr>
            <w:r>
              <w:rPr>
                <w:rFonts w:ascii="Times New Roman" w:hAnsi="Times New Roman"/>
                <w:spacing w:val="-2"/>
                <w:szCs w:val="22"/>
              </w:rPr>
              <w:t xml:space="preserve">53 </w:t>
            </w:r>
            <w:proofErr w:type="spellStart"/>
            <w:r>
              <w:rPr>
                <w:rFonts w:ascii="Times New Roman" w:hAnsi="Times New Roman"/>
                <w:spacing w:val="-2"/>
                <w:szCs w:val="22"/>
              </w:rPr>
              <w:t>Balkanska</w:t>
            </w:r>
            <w:proofErr w:type="spellEnd"/>
            <w:r w:rsidR="003F27EA" w:rsidRPr="003743B1">
              <w:rPr>
                <w:rFonts w:ascii="Times New Roman" w:hAnsi="Times New Roman"/>
                <w:spacing w:val="-2"/>
                <w:szCs w:val="22"/>
              </w:rPr>
              <w:t xml:space="preserve"> St</w:t>
            </w:r>
          </w:p>
          <w:p w14:paraId="6C96E235" w14:textId="77777777" w:rsidR="003F27EA" w:rsidRPr="003743B1" w:rsidRDefault="003F27EA" w:rsidP="00323ED9">
            <w:pPr>
              <w:spacing w:before="120"/>
              <w:rPr>
                <w:rFonts w:ascii="Times New Roman" w:hAnsi="Times New Roman"/>
                <w:spacing w:val="-2"/>
                <w:szCs w:val="22"/>
              </w:rPr>
            </w:pPr>
            <w:r w:rsidRPr="003743B1">
              <w:rPr>
                <w:rFonts w:ascii="Times New Roman" w:hAnsi="Times New Roman"/>
                <w:spacing w:val="-2"/>
                <w:szCs w:val="22"/>
              </w:rPr>
              <w:t>11000 Belgrade, Serbia</w:t>
            </w:r>
          </w:p>
          <w:p w14:paraId="7370FB7E" w14:textId="62C3FEC2" w:rsidR="003F27EA" w:rsidRPr="003743B1" w:rsidRDefault="003F27EA" w:rsidP="00993F6C">
            <w:pPr>
              <w:spacing w:before="120"/>
              <w:rPr>
                <w:rFonts w:ascii="Times New Roman" w:hAnsi="Times New Roman"/>
                <w:spacing w:val="-2"/>
                <w:szCs w:val="22"/>
              </w:rPr>
            </w:pPr>
            <w:r w:rsidRPr="003743B1">
              <w:rPr>
                <w:rFonts w:ascii="Times New Roman" w:hAnsi="Times New Roman"/>
                <w:spacing w:val="-2"/>
                <w:szCs w:val="22"/>
              </w:rPr>
              <w:t xml:space="preserve">Tel/Fax: (+381 11) </w:t>
            </w:r>
            <w:r w:rsidR="00993F6C">
              <w:rPr>
                <w:rFonts w:ascii="Times New Roman" w:hAnsi="Times New Roman"/>
                <w:spacing w:val="-2"/>
                <w:szCs w:val="22"/>
              </w:rPr>
              <w:t>765</w:t>
            </w:r>
            <w:r w:rsidRPr="003743B1">
              <w:rPr>
                <w:rFonts w:ascii="Times New Roman" w:hAnsi="Times New Roman"/>
                <w:spacing w:val="-2"/>
                <w:szCs w:val="22"/>
              </w:rPr>
              <w:t>2</w:t>
            </w:r>
            <w:r w:rsidR="00993F6C">
              <w:rPr>
                <w:rFonts w:ascii="Times New Roman" w:hAnsi="Times New Roman"/>
                <w:spacing w:val="-2"/>
                <w:szCs w:val="22"/>
              </w:rPr>
              <w:t>652</w:t>
            </w:r>
            <w:r w:rsidRPr="003743B1">
              <w:rPr>
                <w:rFonts w:ascii="Times New Roman" w:hAnsi="Times New Roman"/>
                <w:spacing w:val="-2"/>
                <w:szCs w:val="22"/>
              </w:rPr>
              <w:t>       </w:t>
            </w:r>
          </w:p>
        </w:tc>
      </w:tr>
      <w:tr w:rsidR="003F27EA" w:rsidRPr="003743B1" w14:paraId="136BD045" w14:textId="77777777" w:rsidTr="00323ED9">
        <w:tc>
          <w:tcPr>
            <w:tcW w:w="1088" w:type="dxa"/>
            <w:shd w:val="clear" w:color="auto" w:fill="auto"/>
          </w:tcPr>
          <w:p w14:paraId="03C691D9" w14:textId="77777777" w:rsidR="003F27EA" w:rsidRPr="003743B1" w:rsidRDefault="003F27EA" w:rsidP="00323ED9">
            <w:pPr>
              <w:spacing w:after="75" w:line="360" w:lineRule="atLeast"/>
              <w:rPr>
                <w:rFonts w:ascii="Arial" w:hAnsi="Arial" w:cs="Arial"/>
                <w:color w:val="555556"/>
                <w:szCs w:val="22"/>
              </w:rPr>
            </w:pPr>
            <w:r w:rsidRPr="003743B1">
              <w:rPr>
                <w:rFonts w:ascii="Times New Roman" w:hAnsi="Times New Roman"/>
                <w:spacing w:val="-2"/>
                <w:szCs w:val="22"/>
              </w:rPr>
              <w:t>Cc:</w:t>
            </w:r>
          </w:p>
        </w:tc>
        <w:tc>
          <w:tcPr>
            <w:tcW w:w="3870" w:type="dxa"/>
            <w:shd w:val="clear" w:color="auto" w:fill="auto"/>
          </w:tcPr>
          <w:p w14:paraId="73D5D558" w14:textId="77777777" w:rsidR="003F27EA" w:rsidRPr="003743B1" w:rsidRDefault="004A5E03" w:rsidP="00323ED9">
            <w:pPr>
              <w:spacing w:line="360" w:lineRule="atLeast"/>
              <w:rPr>
                <w:rFonts w:ascii="Times New Roman" w:hAnsi="Times New Roman"/>
                <w:spacing w:val="-2"/>
                <w:szCs w:val="22"/>
              </w:rPr>
            </w:pPr>
            <w:hyperlink r:id="rId10" w:history="1">
              <w:r w:rsidR="003F27EA" w:rsidRPr="003743B1">
                <w:rPr>
                  <w:rStyle w:val="Hyperlink"/>
                  <w:rFonts w:ascii="Times New Roman" w:hAnsi="Times New Roman"/>
                  <w:szCs w:val="22"/>
                </w:rPr>
                <w:t>ljiljana.dzuver@mfin.gov.rs</w:t>
              </w:r>
            </w:hyperlink>
          </w:p>
        </w:tc>
        <w:tc>
          <w:tcPr>
            <w:tcW w:w="4042" w:type="dxa"/>
            <w:vMerge/>
            <w:shd w:val="clear" w:color="auto" w:fill="auto"/>
          </w:tcPr>
          <w:p w14:paraId="6D6694EA" w14:textId="77777777" w:rsidR="003F27EA" w:rsidRPr="003743B1" w:rsidRDefault="003F27EA" w:rsidP="00323ED9">
            <w:pPr>
              <w:spacing w:after="75" w:line="360" w:lineRule="atLeast"/>
              <w:rPr>
                <w:rFonts w:ascii="Times New Roman" w:hAnsi="Times New Roman"/>
                <w:spacing w:val="-2"/>
                <w:szCs w:val="22"/>
              </w:rPr>
            </w:pPr>
          </w:p>
        </w:tc>
      </w:tr>
      <w:tr w:rsidR="003F27EA" w:rsidRPr="003743B1" w14:paraId="05BB978B" w14:textId="77777777" w:rsidTr="00323ED9">
        <w:tc>
          <w:tcPr>
            <w:tcW w:w="1088" w:type="dxa"/>
            <w:shd w:val="clear" w:color="auto" w:fill="auto"/>
          </w:tcPr>
          <w:p w14:paraId="2A2192E7" w14:textId="77777777" w:rsidR="003F27EA" w:rsidRPr="003743B1" w:rsidRDefault="003F27EA" w:rsidP="00323ED9">
            <w:pPr>
              <w:spacing w:after="75" w:line="360" w:lineRule="atLeast"/>
              <w:rPr>
                <w:rFonts w:ascii="Times New Roman" w:hAnsi="Times New Roman"/>
                <w:spacing w:val="-2"/>
                <w:szCs w:val="22"/>
              </w:rPr>
            </w:pPr>
            <w:r w:rsidRPr="003743B1">
              <w:rPr>
                <w:rFonts w:ascii="Times New Roman" w:hAnsi="Times New Roman"/>
                <w:spacing w:val="-2"/>
                <w:szCs w:val="22"/>
              </w:rPr>
              <w:t>Cc:</w:t>
            </w:r>
          </w:p>
        </w:tc>
        <w:tc>
          <w:tcPr>
            <w:tcW w:w="3870" w:type="dxa"/>
            <w:shd w:val="clear" w:color="auto" w:fill="auto"/>
          </w:tcPr>
          <w:p w14:paraId="17DEB906" w14:textId="7CBD9238" w:rsidR="00993F6C" w:rsidRDefault="004A5E03" w:rsidP="00323ED9">
            <w:pPr>
              <w:spacing w:line="360" w:lineRule="atLeast"/>
            </w:pPr>
            <w:hyperlink r:id="rId11" w:history="1">
              <w:r w:rsidR="00993F6C" w:rsidRPr="006C29A1">
                <w:rPr>
                  <w:rStyle w:val="Hyperlink"/>
                </w:rPr>
                <w:t>nenad.antonijevic@ite.gov.rs</w:t>
              </w:r>
            </w:hyperlink>
          </w:p>
          <w:p w14:paraId="1F78F2B9" w14:textId="4B8A68AE" w:rsidR="003F27EA" w:rsidRDefault="004A5E03" w:rsidP="00323ED9">
            <w:pPr>
              <w:spacing w:line="360" w:lineRule="atLeast"/>
            </w:pPr>
            <w:hyperlink r:id="rId12" w:history="1">
              <w:r w:rsidR="000A4772" w:rsidRPr="00030A77">
                <w:rPr>
                  <w:rStyle w:val="Hyperlink"/>
                </w:rPr>
                <w:t>edge@ite.gov.rs</w:t>
              </w:r>
            </w:hyperlink>
          </w:p>
          <w:p w14:paraId="4DF6522A" w14:textId="3CF50977" w:rsidR="000A4772" w:rsidRPr="003743B1" w:rsidRDefault="000A4772" w:rsidP="00323ED9">
            <w:pPr>
              <w:spacing w:line="360" w:lineRule="atLeast"/>
              <w:rPr>
                <w:szCs w:val="22"/>
              </w:rPr>
            </w:pPr>
          </w:p>
        </w:tc>
        <w:tc>
          <w:tcPr>
            <w:tcW w:w="4042" w:type="dxa"/>
            <w:shd w:val="clear" w:color="auto" w:fill="auto"/>
          </w:tcPr>
          <w:p w14:paraId="7DBAE3A1" w14:textId="77777777" w:rsidR="003F27EA" w:rsidRPr="003743B1" w:rsidRDefault="003F27EA" w:rsidP="00323ED9">
            <w:pPr>
              <w:spacing w:after="75" w:line="360" w:lineRule="atLeast"/>
              <w:rPr>
                <w:rFonts w:ascii="Times New Roman" w:hAnsi="Times New Roman"/>
                <w:spacing w:val="-2"/>
                <w:szCs w:val="22"/>
              </w:rPr>
            </w:pPr>
          </w:p>
        </w:tc>
      </w:tr>
    </w:tbl>
    <w:p w14:paraId="08B1734F" w14:textId="77777777" w:rsidR="00A94A9A" w:rsidRPr="004B37D4" w:rsidRDefault="00A94A9A" w:rsidP="004B37D4">
      <w:pPr>
        <w:tabs>
          <w:tab w:val="left" w:pos="2475"/>
        </w:tabs>
        <w:suppressAutoHyphens/>
        <w:rPr>
          <w:rFonts w:ascii="Times New Roman" w:hAnsi="Times New Roman"/>
          <w:spacing w:val="-2"/>
          <w:sz w:val="2"/>
          <w:szCs w:val="2"/>
        </w:rPr>
      </w:pPr>
    </w:p>
    <w:sectPr w:rsidR="00A94A9A" w:rsidRPr="004B37D4" w:rsidSect="00E25788">
      <w:headerReference w:type="default" r:id="rId13"/>
      <w:endnotePr>
        <w:numFmt w:val="decimal"/>
      </w:endnotePr>
      <w:pgSz w:w="12240" w:h="15840"/>
      <w:pgMar w:top="720" w:right="720" w:bottom="720" w:left="72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2854" w14:textId="77777777" w:rsidR="004A5E03" w:rsidRDefault="004A5E03">
      <w:r>
        <w:separator/>
      </w:r>
    </w:p>
  </w:endnote>
  <w:endnote w:type="continuationSeparator" w:id="0">
    <w:p w14:paraId="14208466" w14:textId="77777777" w:rsidR="004A5E03" w:rsidRDefault="004A5E03">
      <w:r>
        <w:rPr>
          <w:sz w:val="24"/>
        </w:rPr>
        <w:t xml:space="preserve"> </w:t>
      </w:r>
    </w:p>
  </w:endnote>
  <w:endnote w:type="continuationNotice" w:id="1">
    <w:p w14:paraId="6A66D845" w14:textId="77777777" w:rsidR="004A5E03" w:rsidRDefault="004A5E0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9C22" w14:textId="77777777" w:rsidR="004A5E03" w:rsidRDefault="004A5E03">
      <w:r>
        <w:rPr>
          <w:sz w:val="24"/>
        </w:rPr>
        <w:separator/>
      </w:r>
    </w:p>
  </w:footnote>
  <w:footnote w:type="continuationSeparator" w:id="0">
    <w:p w14:paraId="4D2EF0E5" w14:textId="77777777" w:rsidR="004A5E03" w:rsidRDefault="004A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CB8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2266"/>
    <w:multiLevelType w:val="hybridMultilevel"/>
    <w:tmpl w:val="BBB22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73737"/>
    <w:multiLevelType w:val="hybridMultilevel"/>
    <w:tmpl w:val="9E28DBFE"/>
    <w:lvl w:ilvl="0" w:tplc="D90A09A6">
      <w:start w:val="1"/>
      <w:numFmt w:val="bullet"/>
      <w:lvlText w:val=""/>
      <w:lvlJc w:val="left"/>
      <w:pPr>
        <w:ind w:left="720" w:hanging="360"/>
      </w:pPr>
      <w:rPr>
        <w:rFonts w:ascii="Wingdings" w:hAnsi="Wingdings" w:hint="default"/>
        <w:color w:val="C00000"/>
        <w:u w:color="FFFFFF" w:themeColor="background1"/>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A558B"/>
    <w:multiLevelType w:val="hybridMultilevel"/>
    <w:tmpl w:val="FD0E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22D61"/>
    <w:multiLevelType w:val="multilevel"/>
    <w:tmpl w:val="50D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40141"/>
    <w:multiLevelType w:val="hybridMultilevel"/>
    <w:tmpl w:val="B0901434"/>
    <w:lvl w:ilvl="0" w:tplc="D90A09A6">
      <w:start w:val="1"/>
      <w:numFmt w:val="bullet"/>
      <w:lvlText w:val=""/>
      <w:lvlJc w:val="left"/>
      <w:pPr>
        <w:ind w:left="720" w:hanging="360"/>
      </w:pPr>
      <w:rPr>
        <w:rFonts w:ascii="Wingdings" w:hAnsi="Wingdings" w:hint="default"/>
        <w:color w:val="C00000"/>
        <w:u w:color="FFFFFF" w:themeColor="background1"/>
      </w:rPr>
    </w:lvl>
    <w:lvl w:ilvl="1" w:tplc="FE3876C2">
      <w:start w:val="31"/>
      <w:numFmt w:val="bullet"/>
      <w:lvlText w:val="-"/>
      <w:lvlJc w:val="left"/>
      <w:pPr>
        <w:ind w:left="1440" w:hanging="360"/>
      </w:pPr>
      <w:rPr>
        <w:rFonts w:ascii="Arial" w:eastAsia="MS P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46844"/>
    <w:multiLevelType w:val="hybridMultilevel"/>
    <w:tmpl w:val="C1C658CE"/>
    <w:lvl w:ilvl="0" w:tplc="8C8C6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63D45"/>
    <w:multiLevelType w:val="hybridMultilevel"/>
    <w:tmpl w:val="A4E44F2E"/>
    <w:lvl w:ilvl="0" w:tplc="D90A09A6">
      <w:start w:val="1"/>
      <w:numFmt w:val="bullet"/>
      <w:lvlText w:val=""/>
      <w:lvlJc w:val="left"/>
      <w:pPr>
        <w:ind w:left="1440" w:hanging="360"/>
      </w:pPr>
      <w:rPr>
        <w:rFonts w:ascii="Wingdings" w:hAnsi="Wingdings" w:hint="default"/>
        <w:color w:val="C00000"/>
        <w:u w:color="FFFFFF" w:themeColor="background1"/>
      </w:rPr>
    </w:lvl>
    <w:lvl w:ilvl="1" w:tplc="E9F4BAE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454333"/>
    <w:multiLevelType w:val="hybridMultilevel"/>
    <w:tmpl w:val="6CE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56817"/>
    <w:multiLevelType w:val="hybridMultilevel"/>
    <w:tmpl w:val="0A886C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A91E97"/>
    <w:multiLevelType w:val="multilevel"/>
    <w:tmpl w:val="6F6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F70F3"/>
    <w:multiLevelType w:val="hybridMultilevel"/>
    <w:tmpl w:val="B86EC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40BF0"/>
    <w:multiLevelType w:val="hybridMultilevel"/>
    <w:tmpl w:val="07D6E2A8"/>
    <w:lvl w:ilvl="0" w:tplc="CC349D12">
      <w:start w:val="1"/>
      <w:numFmt w:val="bullet"/>
      <w:pStyle w:val="Buli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5B28D5"/>
    <w:multiLevelType w:val="hybridMultilevel"/>
    <w:tmpl w:val="6E88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C148C"/>
    <w:multiLevelType w:val="hybridMultilevel"/>
    <w:tmpl w:val="EAD0C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8"/>
  </w:num>
  <w:num w:numId="5">
    <w:abstractNumId w:val="6"/>
  </w:num>
  <w:num w:numId="6">
    <w:abstractNumId w:val="1"/>
  </w:num>
  <w:num w:numId="7">
    <w:abstractNumId w:val="4"/>
  </w:num>
  <w:num w:numId="8">
    <w:abstractNumId w:val="5"/>
  </w:num>
  <w:num w:numId="9">
    <w:abstractNumId w:val="7"/>
  </w:num>
  <w:num w:numId="10">
    <w:abstractNumId w:val="2"/>
  </w:num>
  <w:num w:numId="11">
    <w:abstractNumId w:val="12"/>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720"/>
    <w:rsid w:val="00034548"/>
    <w:rsid w:val="00050CBE"/>
    <w:rsid w:val="000A4184"/>
    <w:rsid w:val="000A4772"/>
    <w:rsid w:val="000C4041"/>
    <w:rsid w:val="00103B46"/>
    <w:rsid w:val="00104784"/>
    <w:rsid w:val="00131C96"/>
    <w:rsid w:val="001836DB"/>
    <w:rsid w:val="00186F7D"/>
    <w:rsid w:val="001A30CA"/>
    <w:rsid w:val="001A5997"/>
    <w:rsid w:val="001B0D84"/>
    <w:rsid w:val="001C2BCD"/>
    <w:rsid w:val="001D70EB"/>
    <w:rsid w:val="0021766A"/>
    <w:rsid w:val="0025144D"/>
    <w:rsid w:val="002563C1"/>
    <w:rsid w:val="00270FD2"/>
    <w:rsid w:val="002727A9"/>
    <w:rsid w:val="002B0171"/>
    <w:rsid w:val="002B522F"/>
    <w:rsid w:val="002E530F"/>
    <w:rsid w:val="00332518"/>
    <w:rsid w:val="00357959"/>
    <w:rsid w:val="0036047A"/>
    <w:rsid w:val="0037139E"/>
    <w:rsid w:val="003743B1"/>
    <w:rsid w:val="00385024"/>
    <w:rsid w:val="003A1D8D"/>
    <w:rsid w:val="003C1A8D"/>
    <w:rsid w:val="003C2D23"/>
    <w:rsid w:val="003D09DC"/>
    <w:rsid w:val="003F27EA"/>
    <w:rsid w:val="0040538F"/>
    <w:rsid w:val="00415C53"/>
    <w:rsid w:val="0043084B"/>
    <w:rsid w:val="00430FB4"/>
    <w:rsid w:val="004560B6"/>
    <w:rsid w:val="004A03ED"/>
    <w:rsid w:val="004A5E03"/>
    <w:rsid w:val="004B18F2"/>
    <w:rsid w:val="004B37D4"/>
    <w:rsid w:val="004E721D"/>
    <w:rsid w:val="004F0EE9"/>
    <w:rsid w:val="0050661F"/>
    <w:rsid w:val="005377AC"/>
    <w:rsid w:val="0054445F"/>
    <w:rsid w:val="005D5E33"/>
    <w:rsid w:val="006039F1"/>
    <w:rsid w:val="00696F98"/>
    <w:rsid w:val="006974D1"/>
    <w:rsid w:val="006D6898"/>
    <w:rsid w:val="006F3706"/>
    <w:rsid w:val="00732F3E"/>
    <w:rsid w:val="007629BB"/>
    <w:rsid w:val="007A40C5"/>
    <w:rsid w:val="007B4CE4"/>
    <w:rsid w:val="007D1C85"/>
    <w:rsid w:val="007D59F6"/>
    <w:rsid w:val="007E72D3"/>
    <w:rsid w:val="008102FA"/>
    <w:rsid w:val="00811525"/>
    <w:rsid w:val="00822D7D"/>
    <w:rsid w:val="00875FFD"/>
    <w:rsid w:val="0087623A"/>
    <w:rsid w:val="008929AC"/>
    <w:rsid w:val="00892C92"/>
    <w:rsid w:val="0089380F"/>
    <w:rsid w:val="008A4AA7"/>
    <w:rsid w:val="008C1387"/>
    <w:rsid w:val="008D5364"/>
    <w:rsid w:val="008F38E8"/>
    <w:rsid w:val="00905385"/>
    <w:rsid w:val="00916E24"/>
    <w:rsid w:val="00930962"/>
    <w:rsid w:val="00930D65"/>
    <w:rsid w:val="0093490C"/>
    <w:rsid w:val="00965E53"/>
    <w:rsid w:val="009830E4"/>
    <w:rsid w:val="00983A8E"/>
    <w:rsid w:val="00993F6C"/>
    <w:rsid w:val="009A6D02"/>
    <w:rsid w:val="009A7BEB"/>
    <w:rsid w:val="009B04A5"/>
    <w:rsid w:val="009E3905"/>
    <w:rsid w:val="009E4A48"/>
    <w:rsid w:val="00A05A45"/>
    <w:rsid w:val="00A05DE2"/>
    <w:rsid w:val="00A62834"/>
    <w:rsid w:val="00A94A9A"/>
    <w:rsid w:val="00A9794E"/>
    <w:rsid w:val="00AD2E13"/>
    <w:rsid w:val="00AF0F7D"/>
    <w:rsid w:val="00B21FC4"/>
    <w:rsid w:val="00B3630A"/>
    <w:rsid w:val="00B74B11"/>
    <w:rsid w:val="00B74CEC"/>
    <w:rsid w:val="00BA4299"/>
    <w:rsid w:val="00BC1BB9"/>
    <w:rsid w:val="00BD6CBC"/>
    <w:rsid w:val="00C05D26"/>
    <w:rsid w:val="00C155E6"/>
    <w:rsid w:val="00CB1558"/>
    <w:rsid w:val="00CE0D2A"/>
    <w:rsid w:val="00CF5D87"/>
    <w:rsid w:val="00D04EA8"/>
    <w:rsid w:val="00D26B12"/>
    <w:rsid w:val="00D300DD"/>
    <w:rsid w:val="00D5320F"/>
    <w:rsid w:val="00D83BCE"/>
    <w:rsid w:val="00DA15DD"/>
    <w:rsid w:val="00DB4425"/>
    <w:rsid w:val="00DC1D70"/>
    <w:rsid w:val="00DC634A"/>
    <w:rsid w:val="00DE62DC"/>
    <w:rsid w:val="00DF029B"/>
    <w:rsid w:val="00DF6A28"/>
    <w:rsid w:val="00E07E32"/>
    <w:rsid w:val="00E25788"/>
    <w:rsid w:val="00E3137E"/>
    <w:rsid w:val="00E3145A"/>
    <w:rsid w:val="00E706D4"/>
    <w:rsid w:val="00E836FA"/>
    <w:rsid w:val="00E86FEA"/>
    <w:rsid w:val="00EB4FB8"/>
    <w:rsid w:val="00EB5460"/>
    <w:rsid w:val="00EC50B8"/>
    <w:rsid w:val="00ED3305"/>
    <w:rsid w:val="00F02866"/>
    <w:rsid w:val="00F1557F"/>
    <w:rsid w:val="00F17486"/>
    <w:rsid w:val="00F17C9F"/>
    <w:rsid w:val="00F40313"/>
    <w:rsid w:val="00F408B3"/>
    <w:rsid w:val="00F53B7E"/>
    <w:rsid w:val="00F54AF6"/>
    <w:rsid w:val="00F648FF"/>
    <w:rsid w:val="00F6757C"/>
    <w:rsid w:val="00F873D5"/>
    <w:rsid w:val="00FA6F85"/>
    <w:rsid w:val="00FC0C09"/>
    <w:rsid w:val="00FC63DF"/>
    <w:rsid w:val="00FF0328"/>
    <w:rsid w:val="00FF6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5EA8"/>
  <w15:docId w15:val="{694ED100-9378-46EE-9E30-798EC893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customStyle="1" w:styleId="Default">
    <w:name w:val="Default"/>
    <w:rsid w:val="00186F7D"/>
    <w:pPr>
      <w:autoSpaceDE w:val="0"/>
      <w:autoSpaceDN w:val="0"/>
      <w:adjustRightInd w:val="0"/>
    </w:pPr>
    <w:rPr>
      <w:color w:val="000000"/>
      <w:sz w:val="24"/>
      <w:szCs w:val="24"/>
    </w:rPr>
  </w:style>
  <w:style w:type="paragraph" w:styleId="ListParagraph">
    <w:name w:val="List Paragraph"/>
    <w:basedOn w:val="Normal"/>
    <w:uiPriority w:val="34"/>
    <w:qFormat/>
    <w:rsid w:val="00332518"/>
    <w:pPr>
      <w:ind w:left="720"/>
      <w:contextualSpacing/>
      <w:jc w:val="both"/>
    </w:pPr>
    <w:rPr>
      <w:rFonts w:asciiTheme="minorHAnsi" w:eastAsiaTheme="minorHAnsi" w:hAnsiTheme="minorHAnsi" w:cstheme="minorBidi"/>
      <w:szCs w:val="22"/>
    </w:rPr>
  </w:style>
  <w:style w:type="table" w:styleId="TableGrid">
    <w:name w:val="Table Grid"/>
    <w:basedOn w:val="TableNormal"/>
    <w:uiPriority w:val="39"/>
    <w:rsid w:val="00332518"/>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B21FC4"/>
    <w:rPr>
      <w:rFonts w:ascii="CG Times" w:hAnsi="CG Times"/>
      <w:spacing w:val="-2"/>
      <w:sz w:val="24"/>
    </w:rPr>
  </w:style>
  <w:style w:type="paragraph" w:customStyle="1" w:styleId="Bulit">
    <w:name w:val="Bulit"/>
    <w:basedOn w:val="Heading1"/>
    <w:autoRedefine/>
    <w:qFormat/>
    <w:rsid w:val="004B18F2"/>
    <w:pPr>
      <w:keepNext w:val="0"/>
      <w:numPr>
        <w:numId w:val="14"/>
      </w:numPr>
      <w:tabs>
        <w:tab w:val="clear" w:pos="-720"/>
      </w:tabs>
      <w:suppressAutoHyphens w:val="0"/>
      <w:spacing w:before="120" w:after="120" w:line="259" w:lineRule="auto"/>
      <w:jc w:val="both"/>
    </w:pPr>
    <w:rPr>
      <w:rFonts w:eastAsia="Calibri" w:cs="Calibri"/>
      <w:b w:val="0"/>
      <w:bCs/>
      <w:smallCaps w:val="0"/>
      <w:kern w:val="2"/>
      <w:sz w:val="22"/>
      <w:szCs w:val="40"/>
      <w:u w:color="000000"/>
      <w:bdr w:val="n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e.gov.rs/ed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ge@ite.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ad.antonijevic@ite.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1573-8AB7-44B2-B07B-D3AE00B9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6312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Ljiljana Krejović</cp:lastModifiedBy>
  <cp:revision>9</cp:revision>
  <cp:lastPrinted>2017-05-25T07:25:00Z</cp:lastPrinted>
  <dcterms:created xsi:type="dcterms:W3CDTF">2019-10-11T06:41:00Z</dcterms:created>
  <dcterms:modified xsi:type="dcterms:W3CDTF">2025-08-18T07:20:00Z</dcterms:modified>
</cp:coreProperties>
</file>